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E-699/2010 vom 28. August 2012</w:t>
      </w:r>
    </w:p>
    <w:p>
      <w:r>
        <w:t>Bundesverwaltungsgericht, 2012-08-28, DE</w:t>
      </w:r>
    </w:p>
    <w:p>
      <w:r>
        <w:rPr>
          <w:b/>
        </w:rPr>
        <w:t xml:space="preserve">Quelle: </w:t>
      </w:r>
      <w:r>
        <w:t>https://mcp.opencaselaw.ch/entscheid/bvger_E-699_2010</w:t>
      </w:r>
    </w:p>
    <w:p>
      <w:r>
        <w:t>FR: TAF E-699/2010 du 28 août 2012</w:t>
      </w:r>
    </w:p>
    <w:p>
      <w:r>
        <w:t>IT: TAF E-699/2010 del 28 agosto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Gemäss Art. 3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kommt in der angefochtenen Verfügung zum Schluss, dass die Vorbringen des Beschwerdeführers den Anforderungen an die Glaubhaftigkeit gemäss Art. 7 AsylG nicht standhielten, weshalb ihre Asylrelevanz nicht geprüft werden müsse. Zur Begründung führt sie aus, die Abklärungen durch die Botschaft hätten ergeben, dass ein Verfahren zur Untersuchung der Tötung des Bruders im Gange sei. Entgegen den Angaben des Beschwerdeführers liessen sich in den Akten der EULEX (Nachfolgerin der UNMIK) keine Hinweise entnehmen, wonach der Beschwerdeführer bei der UNMIK in irgend einer Form von Drohungen oder einem Anschlag berichtet hätte, geschweige denn, dass er zu solchen Vorfällen eine Anzeige eingereicht hätte. Diese Feststellung sei eindeutig und lasse keinen Zweifel an ihrer Richtigkeit aufkommen. Beim Vorhandensein von solchen Drohungen wäre in den Akten der Sicherheitsbehörden eine Spur zu finden. Es sei daher zu schliessen, dass keine entsprechenden Anzeigen oder Meldungen bei der UNMIK eingegangen seien. Da der Beschwerdeführer in ständigem Kontakt mit der UNMIK gestanden haben wolle, sei davon auszugehen, dass er ihnen auch über die Drohungen berichtet hätte. Die knappe Äusserung, er könne sich das Fehlen von Hinweisen auf seine Anzeigen nicht erklären, lasse keinen anderen Schluss zu. Weiter sei nicht nachvollziehbar, dass Personen während vier Jahren Drohungen äussern würden, ohne diesen bereits früher irgendwelche konkreten Handlungen folgen zu lassen. Hätten sodann tatsächlich Personen aus dem Umfeld der UCK einen Anschlag auf den Beschwerdeführer verüben wollen, hätten sie es nicht derart ungeschickt angestellt, wie vom Beschwerdeführer dargestellt.</w:t>
      </w:r>
    </w:p>
    <w:p>
      <w:r>
        <w:rPr>
          <w:b/>
        </w:rPr>
        <w:t>E. 4.2</w:t>
      </w:r>
    </w:p>
    <w:p>
      <w:r>
        <w:t>Aufgrund der Aussagen des Beschwerdeführers und den von der Vorinstanz getätigten Abklärungen vor Ort steht fest, dass der Bruder des Beschwerdeführers im Jahre 1998 von Unbekannten ermordet wurde, diesbezüglich Ermittlungen durch die UNMIK geführt wurden und Haftbefehle ergingen. Gestützt auf diese Vorkommnisse und den von ihm neu angestrebten Ermittlungen macht der Beschwerdeführer Drohungen durch Unbekannte geltend. Diese hat die Vorinstanz als tatsachenwidrig sowie als den Erfahrungen oder der Logik des Handelns widersprechend und damit als nicht glaubhaft erachtet. In der Rechtsmitteleingabe rügt der Beschwerdeführer, die Vorinstanz habe diesbezüglich den Massstab des Glaubhaftmachens gemäss Art. 7 AsylG nicht richtig angewendet und damit Bundesrecht verletzt. Die Beweiswürdigung der Vorinstanz ist indes nicht zu beanstanden und sie hat den Massstab des Glaubhaftmachens korrekt auf den vorliegenden Fall angewendet. Was der Beschwerdeführer dagegen vorbringt, ist nicht geeignet, die vorinstanzliche Beweiswürdigung in einem anderen Licht erscheinen zu lassen. Die blosse Behauptung in der Rechtsmitteleingabe, der Beschwerdeführer habe die Bedrohungen detailliert und plausibel dargelegt, ist nicht geeignet, die vor Ort bei der EULEX getätigten Abklärungen in Zweifel zu ziehen. Daran vermögen entgegen der Ansicht des Beschwerdeführers auch die eingereichten Visitenkarten nichts zu ändern. Sie belegen lediglich, dass der Beschwerdeführer zu einem unbestimmten Zeitpunkt in Kontakt mit diesen Vertretern der UNMIK gestanden hat. Sodann ist angesichts der geltend gemachten jahrelangen Drohungen im Zusammenhang mit einem damals nicht abgeschlossenen Ermittlungsverfahren und der zahlreichen Kontakte des Beschwerdeführers mit der UNMIK auszuschliessen, dass keine der zahlreichen Anzeigen des Beschwerdeführers nicht schriftlich festgehalten worden sind. Dass die Informationen der UNMIK beim Übergang auf die EULEX nicht festgehalten worden sind, ist ebenfalls eine durch nichts belegte Behauptung des Beschwerdeführers. Entgegen seiner Ansicht hat damit auch der Umstand, dass er den durch die UNMIK angebotenen Personenschutz abgelehnt hat, nichts zu tun. Vielmehr ist davon auszugehen, dass gerade die Ablehnung des Personenschutzes als wesentlicher Umstand von der UNMIK in ihren Akten in jedem Fall festgehalten worden wäre. Weiter legt der Beschwerdeführer auch nicht dar, welche politischen Gründe dazu hätten führen können, dass die EULEX bestimmte Information nicht der Schweizer Botschaft weitergeben hat. Auch unterlässt er es, substantiiert und nachvollziehbar dazutun, inwiefern vorliegend das angesprochene Gewohnheitsrecht wesentlich von Belang sein soll. Allein die Tatsache, dass in Kosovo in gewissen Bereichen, namentlich familiären und verwandtschaftlichen, noch das Gewohnheitsrechts zur Anwendung gelangt, lässt nicht darauf schliessen, dass der Beschwerdeführer mit Vergeltungsmassnahmen aus dem Umfeld der der Ermordung seines Bruders Verdächtigen zu rechnen hat. Hätten diese indes tatsächlich entsprechende Vergeltungsabsichten, ist wiederum nicht nachvollziehbar, weshalb sie über Jahre hinweg zuwarteten. Weiter ist festzustellen, dass sich die Unbekannten, hätten sie ein effektives Interesse an der Tötung des Beschwerdeführers gehabt, wohl kaum über vier Jahre hinweg mit blossen Drohungen (insgesamt über 30 Mal) begnügt hätten. Ebenso wenig ist ersichtlich, aus welchem Anlass die Unbekannten nach vier Jahren plötzlich einen Anschlag auf den Beschwerdeführer hätten ausüben sollen. Jedenfalls unterlässt es der Beschwerdeführer, diesbezüglich plausible Gründe anzuführen. Schliesslich vermag er mit dem Wiederholen seiner Vorbringen und dem Festhalten an deren Tatsächlichkeit nicht substantiiert darzutun, inwiefern die Vorinstanz zu Unrecht auf Unglaubhaftigkeit seiner Aussagen geschlossen hat. Der Beschwerdeführer hat somit nichts vorgebracht, das geeignet wäre, die Flüchtlingseigenschaft nachzuweisen oder glaubhaft zu machen.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Kosovo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2009/28E. 9.3.1). Vorliegend ist der Vollzug der Wegweisung nach Kosovo im Sinne der vorgenannten Bestimmung zumutbar. Die allgemeine Lage in Kosovo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Beschwerdeführer hat, abgesehen von der Zeit von 1997 bis 2003 und 2008 bis heute, immer in Kosovo gelebt und ist somit mit der dortigen Kultur und Tradition verwurzelt. Sodann leben seine Ehefrau, seine drei Kinder und seine fünf Geschwister sowie weitere Verwandte nach wie vor in Kosovo, teilweise an seinem bisherigen Wohnort. Damit verfügt der Beschwerdeführer in Kosovo über ein bestehendes soziales Beziehungsnetz. Weiter hat er gemäss seinen Angaben mehrjährige Berufserfahrungen J._______. Vor diesem Hintergrund ist es dem Beschwerdeführer zuzumuten, bei einer Rückkehr nach Kosovo eine neue Existenz aufzubauen. Auch wenn die Arbeitssituation in Kosovo nicht einfach ist, und der Beschwerdeführer vor der Ausreise in die Schweiz keine Anstellung hatte, lässt sich nicht von vornherein annehmen, dass er bei einer Rückkehr keine Arbeit findet. Diesbezüglich ist festzuhalten, dass nach konstanter Rechtsprechung blosse soziale und wirtschaftliche Schwierigkeiten keine existenzbedrohende Situation im Sinne von Art. 83 Abs. 4 AuG darstellt (vgl. statt vieler Urteil des Bundesverwaltungsgerichts E-4917/2010 vom 14. Juni 2012). Der Vollzug der Wegweisung ist daher als zumutbar zu erachten.</w:t>
      </w:r>
    </w:p>
    <w:p>
      <w:r>
        <w:rPr>
          <w:b/>
        </w:rPr>
        <w:t>E. 6.4</w:t>
      </w:r>
    </w:p>
    <w:p>
      <w:r>
        <w:t>Es obliegt dem Beschwerdeführer sich bei der zuständigen Vertretung Kosovos die für eine Rückkehr notwendigen Reisedokumente zu beschaffen (Art. 8 Abs. 4 AsylG; BVGE 2008/34 E. 12), weshalb der Vollzug der Wegweisung im Sinne von Art. 83 Abs. 2 AuG möglich ist.</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zur Gewährung der unentgeltlichen Rechtspflege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