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E-6998/2018 vom 11. Juni 2020</w:t>
      </w:r>
    </w:p>
    <w:p>
      <w:r>
        <w:t>Bundesverwaltungsgericht, 2020-06-11, DE</w:t>
      </w:r>
    </w:p>
    <w:p>
      <w:r>
        <w:rPr>
          <w:b/>
        </w:rPr>
        <w:t xml:space="preserve">Quelle: </w:t>
      </w:r>
      <w:r>
        <w:t>https://mcp.opencaselaw.ch/entscheid/bvger_E-6998_2018</w:t>
      </w:r>
    </w:p>
    <w:p>
      <w:r>
        <w:t>FR: TAF E-6998/2018 du 11 juin 2020</w:t>
      </w:r>
    </w:p>
    <w:p>
      <w:r>
        <w:t>IT: TAF E-6998/2018 del 11 giugno 2020</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gelangt in der angefochtenen Verfügung zum Schluss, die Vorbringen des Beschwerdeführers seien selbst bei Annahme der Glaubhaftigkeit nicht asylrelevant. Seinem Verhalten liessen sich keine Hinweise dafür entnehmen, dass er sich in einer unerträglichen Zwangssituation befunden habe, derer er sich einzig durch eine Ausreise habe entziehen können. Diese Auffassung werde dadurch gestützt, dass er den Entschluss zur Ausreise mehrere Monate vor der tatsächlichen Ausreise gefasst habe, aber erst in Abwesenheit des Vaters gehandelt und dessen (...) zur Finanzierung der Reise verkauft habe. Es sei auch nicht verwunderlich, dass er als (...)student eine gewisse Islamkritik anbringe. Der Umstand, dass er habe studieren können, zeige, dass seine Familie nicht derart konservativ eingestellt gewesen sei. Bei einer Rückkehr sei er keinem unerträglichen psychischen Druck ausgesetzt, sich zu verstecken oder die innere Überzeugung zu verleugnen. Im Weiteren sei die abstrakte Befürchtung nicht asylrelevant, aufgrund der inneren Ablehnung gefährdet zu sein. Bei der Rückkehr nach Afghanistan habe er keine begründete Furcht vor asylrechtlich relevanten Massnahmen. Seiner Mutter und seiner Frau habe er medizinische Gründe für die Ausreise genannt. Die Bezeichnung als «Mortad» durch den Onkel oder den Vater habe er aus Gerüchten abgeleitet. Zudem glaube er bloss, dass sein Onkel ihn deswegen steinigen lassen würde. Konkrete Anzeichen habe er aber keine kundgetan. Es sei nicht erstellt, dass er tatsächlich von der Familie verstossen worden sei, sonst hätte er von der Schweiz aus keinen Kontakt zu seiner Frau und seiner Mutter. Auch die Verwendung des Erlöses aus dem Verkauf der (...) zur Finanzierung der Ausreise sei offenbar in der Familie kein Thema. Seine Einstellung zum Islam sei niemandem bekannt. Auch in der Schweiz habe er keine Bestrebungen unternommen, um vom Islam abzufallen.</w:t>
      </w:r>
    </w:p>
    <w:p>
      <w:r>
        <w:rPr>
          <w:b/>
        </w:rPr>
        <w:t>E. 5.2</w:t>
      </w:r>
    </w:p>
    <w:p>
      <w:r>
        <w:t>Der Beschwerdeführer rügt in der Rechtsmitteleingabe, die Vorinstanz habe seine Vorbringen zu Unrecht als nicht asylrelevant bezeichnet, mithin Art. 3 AsylG verletzt. Zunächst sei es ihm aus finanziellen Gründen nicht möglich gewesen, Afghanistan zu verlassen. Während dieser Zeit habe er unter dem Verstecken seiner Überzeugung gelitten. Als es ihm immer schwerer gefallen sei, religiöse Riten mitzumachen, habe er manchmal das Fasten gebrochen oder Gebete ausgelassen. Dies habe schliesslich die Aufmerksamkeit seines Vaters und seines Onkels geweckt. Seine Familie vertrete konservative religiöse Wertvorstellungen. Aus seinem Studium könne nicht geschlossen werden, seine Familie habe keine allzu konservative Einstellung. Selbst bei Anhängern der Taliban spreche die religiöse Haltung nicht gegen eine höhere Ausbildung der männlichen Familienangehörigen. Inwiefern die Angaben anlässlich der BzP, er sei Schiite und religiös getraut, einen Einfluss auf die Asylrelevanz der Vorbringen haben sollen, sei nicht ersichtlich, zumal er sich an dieser Befragung nicht weiter dazu habe äussern können und er auch nicht nach den Asylgründen gefragt worden sei. Was die begründete Furcht vor künftiger Verfolgung betreffe, stütze er sich entgegen der vorinstanzlichen Ansicht nicht auf Gerüchte, sondern auf die Telefonate mit seiner Mutter. Es sei nicht nachvollziehbar, weshalb die Vorinstanz den Kontakt zu seiner Ehefrau und seiner Mutter benutze, um die Verstossung durch seine Familie in Frage zu stellen. Er habe nicht geltend gemacht, von der gesamten Familie verstossen worden zu sein, sondern dass sein Vater sowie sein Onkel sehr religiös seien und ihm aufgrund seiner kritischen Fragen sowie der Flucht in die Schweiz nach dem Leben trachteten. Das Argument der Vorinstanz, er habe keine konkreten Anzeichen für eine Steinigung durch den Onkel darlegen können und seine innere Einstellung sei in Afghanistan niemandem bekannt, sei nicht geeignet, die Asylrelevanz der befürchteten Verfolgung zu verneinen. Die Furcht vor Vergeltungsmassnahmen stehe anhand der objektivierbaren tatsächlichen Verhältnisse in Afghanistan fest. Es spiele keine Rolle, dass er seine kritische Einstellung vor der Flucht habe verbergen können. Nach über drei Jahren in der Schweiz gelinge es ihm nicht mehr, seine Abneigung gegenüber allem Religiösen zu verstecken. Inwiefern er in der Schweiz Bestrebungen hätte unternehmen sollen, vom Islam abzufallen, sei nicht ersichtlich. Die Schlussfolgerung der Vorinstanz sei unzutreffend, die Reisefinanzierung durch den (...)verkauf sei in der Familie nicht thematisiert worden. Er habe ausgeführt, auch die Tatsache, dass er «das Geld ebenso mitgenommen» habe, sei ein Grund für die Verfolgung durch die männlichen Verwandten. Aufgrund seiner Apostasie sei er bei einer Rückkehr nach Afghanistan asylrelevanten Verfolgungsmassnahmen ausgesetzt.</w:t>
      </w:r>
    </w:p>
    <w:p>
      <w:r>
        <w:rPr>
          <w:b/>
        </w:rPr>
        <w:t>E. 6.1</w:t>
      </w:r>
    </w:p>
    <w:p>
      <w:r>
        <w:t>Die Vorinstanz verzichtete auf eine Glaubhaftigkeitsprüfung der Vorbringen, da sie diese als nicht asylrelevant befunden hat. Mit dem Beschwerdeführer und entgegen der vorinstanzlichen Ansicht ist indes festzuhalten, dass einer glaubhaften Apostasie grundsätzlich Asylrelevanz zukommt (vgl. zu dieser Thematik Referenzurteil des BVGer D-4952/2014 vom 23. August 2017 E. 7.5). Im genannten Referenzurteil kam das Gericht zum Schluss, in Afghanistan sei bei Personen, deren Apostasie öffentlich bekannt werde, grundsätzlich von objektiv begründeter Furcht vor flüchtlingsrechtlich relevanten Nachteile auszugehen (vgl. a.a.O. E. 7.5.5). Demnach hat der Beschwerdeführer bei einer glaubhaften Apostasie bei einer Rückkehr nach Afghanistan allenfalls begründete Furcht vor Verfolgungsmassnahmen im Sinne von Art. 3 AsylG.</w:t>
      </w:r>
    </w:p>
    <w:p>
      <w:r>
        <w:rPr>
          <w:b/>
        </w:rPr>
        <w:t>E. 6.2</w:t>
      </w:r>
    </w:p>
    <w:p>
      <w:r>
        <w:t>Bei glaubhafter Apostasie ist in einem zweiten Schritt zu prüfen, ob von einer Person erwartet werden kann, eine drohende Verfolgung durch das eigene Verhalten abzuwenden, mithin ob in Anbetracht des Profils des Beschwerdeführers ein unerträglicher psychischer Druck vorliegt, sodass von ihm nicht erwartet werden kann, bei einer Rückkehr nach Afghanistan einer drohenden Verfolgung durch Verheimlichen seiner Abkehr vom Islam respektive durch diskretes Verhalten zu entgehen (vgl. a.a.O. E. 7.6.1).</w:t>
      </w:r>
    </w:p>
    <w:p>
      <w:r>
        <w:rPr>
          <w:b/>
        </w:rPr>
        <w:t>E. 6.3</w:t>
      </w:r>
    </w:p>
    <w:p>
      <w:r>
        <w:t>Bei einer geltend gemachten Konversion zu einer neuen Religion oder einer Apostasie ist zu beachten, dass die Beurteilung der Glaubhaftigkeit oft das zentrale Element der Prüfung eines Asylgesuches darstellt. Aufgrund des inneren Charakters dieses Vorbringens ist diese besonders schwierig (vgl. statt vieler Urteil BVGer E-690/2020 vom 24. März 2020 E. 6.2). Eine Glaubhaftigkeitsprüfung der geltend gemachten Apostasie des Beschwerdeführers erscheint vor diesem Hintergrund demnach zentral.</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Praxiskommentar VwVG, 2. Aufl. 2016, Art. 61 N 16 S. 1264). Die in diesen Fällen fehlende Entscheidungsreife kann grundsätzlich zwar auch durch die Beschwerdeinstanz selbst hergestellt werden, wenn dies im Einzelfall aus prozessökonomischen Gründen angebracht erscheint; sie muss dies aber nicht (vgl. BVGE 2008/47 E. 3.3.4 S. 676).</w:t>
      </w:r>
    </w:p>
    <w:p>
      <w:r>
        <w:rPr>
          <w:b/>
        </w:rPr>
        <w:t>E. 7.2</w:t>
      </w:r>
    </w:p>
    <w:p>
      <w:r>
        <w:t>In Anbetracht der vorstehenden Ausführungen ist es angezeigt, die Sache zur Durchführung einer Glaubhaftigkeitsprüfung an die Vorinstanz zurückzuweisen, zumal die Frage der Glaubhaftigkeit vorliegend nicht offensichtlich ist und es in erster Linie Aufgabe der Vorinstanz ist, diese zu beurteilen (vgl. Anne Kneer/Linus Sonderegger, Glaubhaftigkeitsprüfung im Asylverfahren, Ein Überblick über die Rechtsprechung des Bundesverwaltungsgerichts, Asyl 2/2015 S. 3). Ferner würde dem Beschwerdeführer durch eine erstmalige Durchführung der Glaubhaftigkeitsprüfung durch das Bundesverwaltungsgericht eine Instanz verloren gehen. Der Vorinstanz wird es sodann obliegen, einzuschätzen, ob eine entsprechende Prüfung auf der Grundlage des vorliegenden Anhörungsprotokolls vorgenommen werden kann oder eine weitere Anhörung erforderlich ist. Angesichts der Rückweisung der Sache ist auf die weiteren Vorbringen in der Rechtsmitteleingabe nicht einzugehen.</w:t>
      </w:r>
    </w:p>
    <w:p>
      <w:r>
        <w:rPr>
          <w:b/>
        </w:rPr>
        <w:t>E. 7.3</w:t>
      </w:r>
    </w:p>
    <w:p>
      <w:r>
        <w:t>Nach dem Gesagten ist die Beschwerde gutzuheissen. Die Verfügung vom 5. November 2018 ist aufzuheben und die Sache zur Neubeurteilung an die Vorinstanz zurückzuweisen.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der Replik vom 18. Januar 2019 eine Honorarnote eingereicht. Darin weist er basierend auf einem Stundenansatz von Fr. 300.- einen zeitlichen Aufwand von 6.5 Stunden sowie Auslagen im Betrag von Fr. 38.40 aus, was den Verfahrensumständen als angemessen erscheint. Für die nach der Replik verfassten Schreiben und eingereichten Arztberichte sind weitere 1.5 Stunden sowie Auslagen von Fr. 18.90 einzuberechnen, mithin ist von einem Aufwand von insgesamt 8 Stunden sowie Auslagen von Fr. 57.30 auszugehen. Die von der Vorinstanz auszurichtende Parteientschädigung ist demnach auf insgesamt Fr. 2'646.50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