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E-6993/2016 vom 18. November 2016</w:t>
      </w:r>
    </w:p>
    <w:p>
      <w:r>
        <w:t>Bundesverwaltungsgericht, 2016-11-18, DE</w:t>
      </w:r>
    </w:p>
    <w:p>
      <w:r>
        <w:rPr>
          <w:b/>
        </w:rPr>
        <w:t xml:space="preserve">Quelle: </w:t>
      </w:r>
      <w:r>
        <w:t>https://mcp.opencaselaw.ch/entscheid/bvger_E-6993_2016</w:t>
      </w:r>
    </w:p>
    <w:p>
      <w:r>
        <w:t>FR: TAF E-6993/2016 du 18 novembre 2016</w:t>
      </w:r>
    </w:p>
    <w:p>
      <w:r>
        <w:t>IT: TAF E-6993/2016 del 18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Beschwerdeführerin ist als Verfügungsadressatin zur Beschwerdeführung legitimiert (Art. 48 Abs. 1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der Beschwerdeführerin hielten den Anforderungen an die Flüchtlingseigenschaft gemäss Art. 3 AsylG nicht stand. Die geschilderten Übergriffe seien durch private Drittpersonen verübt worden. Soweit einige der Vorfälle ein strafrechtlich relevantes Ausmass erreichen würden, stellten sie Straftatbestände dar, die auch in Bosnien und Herzegowina von den zuständigen Strafverfolgungsbehörden geahndet würden. Dabei bestehe die Möglichkeit, gegen fehlbare Beamte auf dem Rechtsweg vorzugehen. Aus dem geschilderten Sachverhalt gehe indes hervor, dass die bosnischen Behörden nicht untätig geblieben seien, sondern im Rahmen ihrer Möglichkeiten Schritte unternommen hätten, um die Taten zu ahnden. Der Einwand, die Behörden hätten nichts unternommen, da alle in kriminelle Machenschaften wie Drogengeschäfte involviert seien, müsse als realitätsfremd gewertet werden. Gleiches gelte - angesichts der in Bosnien garantierten Religionsfreiheit - für die Behauptung, wonach einzelne Behördenvertreter sie wegen ihrer Konversion zum christlichen Glauben benachteiligt oder gar zum Drogenhandel und zur Prostitution aufgefordert hätten. Die beleidigenden Äusserungen seitens der Nachbarn und Behörden würden aufgrund ihrer Art und Intensität keine Verfolgung im Sinne von Art. 3 AsylG darstellen. Es sei von einem funktionierenden staatlichen Schutz­system in Bosnien und Herzegowina auszugehen, dessen Inanspruchnahme ihr im Falle von Drohungen oder Übergriffen seitens privater Drittpersonen möglich und zumutbar sei. Im Übrigen habe der Bundesrat Bosnien und Herzegowina als verfolgungssicheren Staat (safe country) bezeichnet.</w:t>
      </w:r>
    </w:p>
    <w:p>
      <w:r>
        <w:rPr>
          <w:b/>
        </w:rPr>
        <w:t>E. 5.2</w:t>
      </w:r>
    </w:p>
    <w:p>
      <w:r>
        <w:t>Übergriffe durch Dritte oder Befürchtungen, solchen ausgesetzt zu sein, sind nur asylrelevant, wenn der Staat seiner Schutzpflicht nicht nachkommen will oder nicht in der Lage ist, Schutz zu gewähren. Generell ist Schutz gewährleistet, wenn der Staat geeignete Massnahmen zur Verhin-derung der Verfolgung trifft, namentlich durch wirksame Polizei- und Justizorgane zur Ermittlung, Strafverfolgung und Ahndung von Verfolgungshandlungen. Antragsteller müssen Zugang zu diesem Schutz haben. Der Bundesrat hat Bosnien und Herzegowina als verfolgungssicheren Staat im Sinne von Art. 6a Abs. 2 Bst. a AsylG bezeichnet, weshalb im Sinne einer Regelvermutung vom Schutzwillen und von der Schutzfähigkeit dieses Staates auszugehen ist.</w:t>
      </w:r>
    </w:p>
    <w:p>
      <w:r>
        <w:rPr>
          <w:b/>
        </w:rPr>
        <w:t>E. 5.3</w:t>
      </w:r>
    </w:p>
    <w:p>
      <w:r>
        <w:t>Der vorinstanzliche Schluss ist nicht zu beanstanden. In der angefochtenen Verfügung wird in nachvollziehbarer Weise dargelegt, weshalb die Beschwerdeführerin die Voraussetzungen zur Anerkennung als Flüchtling nicht erfüllt. Was in der Rechtsmitteleingabe dagegen vorgebracht wird, ist nicht geeignet, einen anderen Schluss zu ziehen. Soweit die Beschwerdeführerin geltend macht, sie sei nicht wirklich angehört worden, vermag sie aus diesem Einwand nichts zu ihren Gunsten abzuleiten. Dem Protokoll der Anhörung sind keine Hinweise zu entnehmen, dass die Beschwerdeführerin unnötig unterbrochen oder die Anhörung abrupt beendet worden wäre. Vielmehr ist festzustellen, dass die Anhörung inklusive einer Pause von 20 Minuten rund sieben Stunden dauerte und die Beschwerdeführerin hinreichend zu ihren Asylgründen befragt wurde. Auch wurde sie am Ende der Anhörung gefragt, ob sie alle Gründe für ihr Asylgesuch habe nennen können, was sie bejahte. Das Protokoll kann demnach dem vorliegenden Entscheid zugrunde gelegt werden. Weitergehend legt die Beschwerdeführerin in ihre Rechtsmitteleingabe mit dem kurzen Wiederholen des aktenkundigen Sachverhalts nicht dar, inwiefern die Vorinstanz sie zu Unrecht nicht als Flüchtling anerkannt hat. Solches ist auch nicht ersichtlich. Um Wiederholungen zu vermeiden, kann vollumfänglich auf die zutreffenden Erwägungen in der angefochtenen Verfügung verwiesen werden.</w:t>
      </w:r>
    </w:p>
    <w:p>
      <w:r>
        <w:rPr>
          <w:b/>
        </w:rPr>
        <w:t>E. 5.4</w:t>
      </w:r>
    </w:p>
    <w:p>
      <w:r>
        <w:t>Zusammenfassend ist festzuhalten, dass die Vorinstanz die Flüchtlingseigenschaft der Beschwerdeführerin zu Recht verneint und ihr Asylgesuch abgelehnt hat.</w:t>
      </w:r>
    </w:p>
    <w:p>
      <w:r>
        <w:rPr>
          <w:b/>
        </w:rPr>
        <w:t>E. 6.1</w:t>
      </w:r>
    </w:p>
    <w:p>
      <w:r>
        <w:t>Lehnt das Staatssekretariat das Asylgesuch ab oder tritt es darauf nicht ein, so verfügt es in der Regel die Wegweisung aus der Schweiz und ordnet den Vollzug an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Anhaltspunkte dafür, dass sie für den Fall einer Ausschaffung nach Bosnien und Herzegowina dort mit beachtlicher Wahrscheinlichkeit einer nach Art. 3 EMRK oder Art. 1 FoK verbotenen Strafe oder Behandlung ausgesetzt wäre. Damit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Bundesrat bezeichnet Heimat- oder Herkunftsstaaten oder Gebiete dieser Staaten, in welche eine Rückkehr zumutbar ist. Kommen weg- oder ausgewiesene Ausländerinnen und Ausländer aus einem dieser Staaten oder aus einem Mittgliedstaat der EU oder der EFTA, so ist ein Vollzug der Weg- oder Ausweisung gemäss Art. 83 Abs. 5 AuG in der Regel zumutbar. Der Bundesrat hat Bosnien und Herzegowina als verfolgungssicheren Staat bezeichnet, weshalb von der generellen Zumutbarkeit des Wegweisungsvollzugs ausgegangen wird. Auch in individueller Hinsicht bringt die Beschwerdeführerin in der Eingabe nichts vor, was den Vollzug der Wegweisung als unzumutbar erscheinen liesse. Um Wiederholungen zu vermeiden, kann auch diesbezüglich auf die vorinstanzlichen Erwägungen verwiesen werden. Der Vollzug der Wegweisung ist zumutbar.</w:t>
      </w:r>
    </w:p>
    <w:p>
      <w:r>
        <w:rPr>
          <w:b/>
        </w:rPr>
        <w:t>E. 7.4</w:t>
      </w:r>
    </w:p>
    <w:p>
      <w:r>
        <w:t>Schliesslich verfügt die Beschwerdeführerin über einen Reisepass und eine Identitätskarte,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