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E-6988/2015 vom 16. Mai 2017</w:t>
      </w:r>
    </w:p>
    <w:p>
      <w:r>
        <w:t>Bundesverwaltungsgericht, 2017-05-16, FR</w:t>
      </w:r>
    </w:p>
    <w:p>
      <w:r>
        <w:rPr>
          <w:b/>
        </w:rPr>
        <w:t xml:space="preserve">Quelle: </w:t>
      </w:r>
      <w:r>
        <w:t>https://mcp.opencaselaw.ch/entscheid/bvger_E-6988_2015</w:t>
      </w:r>
    </w:p>
    <w:p>
      <w:r>
        <w:t>FR: TAF E-6988/2015 du 16 mai 2017</w:t>
      </w:r>
    </w:p>
    <w:p>
      <w:r>
        <w:t>IT: TAF E-6988/2015 del 16 maggio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La recourante a qualité pour recourir (cf. art. 48 al. 1 PA). Présenté dans la forme (cf. art. 52 al. 1 PA) et dans le délai (cf. art. 108 al. 1 LAsi) prescrits par la loi, le recours est recevable.</w:t>
      </w:r>
    </w:p>
    <w:p>
      <w:r>
        <w:rPr>
          <w:b/>
        </w:rPr>
        <w:t>E. 1.3</w:t>
      </w:r>
    </w:p>
    <w:p>
      <w:r>
        <w:t>Saisi d'un recours contre une décision du SEM, le Tribunal tient compte de la situation et des éléments tels qu'ils se présentent au moment où il se prononce (cf. ATAF 2012/21 consid. 5).</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w:t>
      </w:r>
    </w:p>
    <w:p>
      <w:r>
        <w:rPr>
          <w:b/>
        </w:rPr>
        <w:t>E. 2.2</w:t>
      </w:r>
    </w:p>
    <w:p>
      <w:r>
        <w:t>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demande dûment motivée est déposée par écrit auprès du SEM dans les trente jours qui suivent la découverte du motif de réexamen (art. 111b al. 1 LAsi).</w:t>
      </w:r>
    </w:p>
    <w:p>
      <w:r>
        <w:rPr>
          <w:b/>
        </w:rPr>
        <w:t>E. 3.1</w:t>
      </w:r>
    </w:p>
    <w:p>
      <w:r>
        <w:t>En l'espèce, la demande de réexamen est dûment motivée ; cet élément n'a d'ailleurs pas été remis en question par le SEM. Datée du 14 septembre 2015, elle est déposée dans le délai légal de trente jours suivant la tentative de suicide du (...) 2015, attestée par documents médicaux des (...) et (...) suivants. La demande de réexamen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de la recourante à ce moment.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4.1</w:t>
      </w:r>
    </w:p>
    <w:p>
      <w:r>
        <w:t>D'entrée de cause, le Tribunal considère que la recourante n'a apporté aucun élément nouveau et concret au sujet de la présence et de l'étendue de son réseau familial à Kinshasa. Dès lors, elle demande une nouvelle appréciation de faits déjà examinés en procédure ordinaire, ce que ne permet pas la voie du réexamen.</w:t>
      </w:r>
    </w:p>
    <w:p>
      <w:r>
        <w:rPr>
          <w:b/>
        </w:rPr>
        <w:t>E. 4.2</w:t>
      </w:r>
    </w:p>
    <w:p>
      <w:r>
        <w:t>Sur le plan somatique, la recourante avait déjà fait valoir souffrir d'épilepsie et d'une hépatite B chronique au cours de la procédure ordinaire (réf. E-1000/2015) et de celle relative à sa première demande de réexamen (réf. E-5157/2015). Dès lors, ces affections ne sont pas nouvelles et n'ouvrent pas la voie du réexamen.</w:t>
      </w:r>
    </w:p>
    <w:p>
      <w:r>
        <w:rPr>
          <w:b/>
        </w:rPr>
        <w:t>E. 4.3</w:t>
      </w:r>
    </w:p>
    <w:p>
      <w:r>
        <w:t>S'agissant des atteintes d'ordre psychique, force est de constater, en comparant les rapports médicaux établis par le même psychiatre à presque deux ans d'intervalle, l'un du (...) 2015, sur lequel le Tribunal s'est basé pour rendre son arrêt du (...) 2015 (réf. E-5157/2015), et l'autre actualisé du (...) 2017, que le diagnostic est demeuré inchangé (existence d'un trouble dépressif récurrent avec un épisode sévère sans symptômes psychotiques découlant d'un PTSD). De même, les traitements prodigués, composés d'un suivi psychothérapeutique bimensuel et d'une médication psychotrope, sont pour l'essentiel semblables (légère augmentation de 30mg/jour du Cymbalta, abandon du Remeron et introduction en contrepartie du Tranxilium).</w:t>
      </w:r>
    </w:p>
    <w:p>
      <w:r>
        <w:rPr>
          <w:b/>
        </w:rPr>
        <w:t>E. 4.4</w:t>
      </w:r>
    </w:p>
    <w:p>
      <w:r>
        <w:t>En revanche, constituent des faits nouveaux, au sens de la jurisprudence, les deux tentatives de suicide des (...) et (...) 2015. Le Tribunal considère toutefois que ces motifs ne sont pas susceptibles, en l'état, de faire obstacle à l'exécution du renvoi de la recourante sous l'angle de l'exigibilité. En effet, s'agissant des circonstances de ces gestes, il faut rappeler que la recourante a averti son ex-compagnon avant de passer à l'acte, lui indiquant les médicaments qu'elle s'apprêtait à ingérer. Sans minimiser l'état fragile de la recourante à ce moment-là et ses « appels au secours » (cf. rapport médical de sortie du [...] 2016 p. 2), celle-ci a néanmoins affirmé avoir passé à l'acte sous l'emprise de l'alcool, sans avoir prémédité son geste. En outre, après deux hospitalisations en milieu psychiatrique sur une base volontaire (cf. rapport médical de sortie du [...] 2015 et lettre de transfert du [...] 2015), et non pas de manière forcée pour prévenir un risque élevé de passage à l'acte auto-agressif, sa thymie s'est rapidement améliorée et elle s'est montrée apte à se projeter positivement dans l'avenir. Quoi qu'il en soit, au vu de l'ensemble du dossier, force est de constater que la recourante a, depuis la période certes difficile traversée dans le courant du deuxième semestre 2015, retrouvé un équilibre psychique depuis un an et demi et ne présente actuellement pas d'idéation suicidaire (cf. rapport médical du [...] 2017). Au surplus,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Tribunal administratif fédéral E-7991/2016 du 9 janvier 2017 consid. 4.7). En particulier, il appartiendra aux autorités d'exécution du renvoi de vérifier les éventuelles mesures d'accompagnement qu'impose l'état de santé de la recourante de manière à prévenir, cas échéant, tout acte d'auto-agression de sa part.</w:t>
      </w:r>
    </w:p>
    <w:p>
      <w:r>
        <w:rPr>
          <w:b/>
        </w:rPr>
        <w:t>E. 4.5</w:t>
      </w:r>
    </w:p>
    <w:p>
      <w:r>
        <w:t>Par conséquent l'exécution du renvoi de la recourante demeure raisonnablement exigible.</w:t>
      </w:r>
    </w:p>
    <w:p>
      <w:r>
        <w:rPr>
          <w:b/>
        </w:rPr>
        <w:t>E. 4.6</w:t>
      </w:r>
    </w:p>
    <w:p>
      <w:r>
        <w:t>Il s'ensuit que le recours, en tant qu'il conteste le rejet de la demande de réexamen, doit être rejeté.</w:t>
      </w:r>
    </w:p>
    <w:p>
      <w:r>
        <w:rPr>
          <w:b/>
        </w:rPr>
        <w:t>E. 5</w:t>
      </w:r>
    </w:p>
    <w:p>
      <w:r>
        <w:t>Dans la mesure où la recourante bénéficie de l'assistance judiciaire partielle,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