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E-6985/2017 vom 21. Dezember 2017</w:t>
      </w:r>
    </w:p>
    <w:p>
      <w:r>
        <w:t>Bundesverwaltungsgericht, 2017-12-21, DE</w:t>
      </w:r>
    </w:p>
    <w:p>
      <w:r>
        <w:rPr>
          <w:b/>
        </w:rPr>
        <w:t xml:space="preserve">Quelle: </w:t>
      </w:r>
      <w:r>
        <w:t>https://mcp.opencaselaw.ch/entscheid/bvger_E-6985_2017</w:t>
      </w:r>
    </w:p>
    <w:p>
      <w:r>
        <w:t>FR: TAF E-6985/2017 du 21 décembre 2017</w:t>
      </w:r>
    </w:p>
    <w:p>
      <w:r>
        <w:t>IT: TAF E-6985/2017 del 21 dicembre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worden ist.</w:t>
      </w:r>
    </w:p>
    <w:p>
      <w:r>
        <w:rPr>
          <w:b/>
        </w:rPr>
        <w:t>E. 2</w:t>
      </w:r>
    </w:p>
    <w:p>
      <w:r>
        <w:t>Die Verfügung des SEM vom 27. November 2017 wird aufgehoben. Die Akten werden zur korrekten Durchführung des erstinstanzlichen Verfahrens an die Vorinstanz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Fr. 2000.- zu überweisen.</w:t>
      </w:r>
    </w:p>
    <w:p>
      <w:r>
        <w:rPr>
          <w:b/>
        </w:rPr>
        <w:t>E. 5</w:t>
      </w:r>
    </w:p>
    <w:p>
      <w:r>
        <w:t>Dieses Urteil geht an Beschwerdeführer, das SEM und die kantonale 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