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E-6975/2023 vom 11. Dezember 2023</w:t>
      </w:r>
    </w:p>
    <w:p>
      <w:r>
        <w:t>Bundesverwaltungsgericht, 2023-12-11, DE</w:t>
      </w:r>
    </w:p>
    <w:p>
      <w:r>
        <w:rPr>
          <w:b/>
        </w:rPr>
        <w:t xml:space="preserve">Quelle: </w:t>
      </w:r>
      <w:r>
        <w:t>https://mcp.opencaselaw.ch/entscheid/bvger_E-6975_2023_d20231211</w:t>
      </w:r>
    </w:p>
    <w:p>
      <w:r>
        <w:t>FR: TAF E-6975/2023 du 11 décembre 2023</w:t>
      </w:r>
    </w:p>
    <w:p>
      <w:r>
        <w:t>IT: TAF E-6975/2023 del 11 dicembre 2023</w:t>
      </w:r>
    </w:p>
    <w:p>
      <w:pPr>
        <w:pStyle w:val="Heading2"/>
      </w:pPr>
      <w:r>
        <w:t>Regeste</w:t>
      </w:r>
    </w:p>
    <w:p>
      <w:r>
        <w:t>Nichteintreten auf Asylgesuch und Wegweisung (Dublin-Verfahren - Art. 31a Abs. 1 Bst. b AsylG) | Nichteintreten auf Asylgesuch und Wegweisung (Dublin-Verfahren); Verfügung des SEM vom 11. Dezember 2023</w:t>
      </w:r>
    </w:p>
    <w:p>
      <w:pPr>
        <w:pStyle w:val="Heading2"/>
      </w:pPr>
      <w:r>
        <w:t>Erwägungen</w:t>
      </w:r>
    </w:p>
    <w:p>
      <w:r>
        <w:rPr>
          <w:b/>
        </w:rPr>
        <w:t>E. 12</w:t>
      </w:r>
    </w:p>
    <w:p>
      <w:r>
        <w:t>Dezember 2023 E. 7.2; jeweils m.H.a. das Referenzurteil des BVGer E-1488/2020 vom 22. März 2023 E. 9.5), dass daran die in der Beschwerde genannten Berichte und Urteile nichts zu ändern vermögen und keine Veranlassung für eine Anpassung der erst kürzlich koordinierten Praxis besteht,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sog. Selbsteintrittsrecht), dass Art. 29a Abs. 3 der Asylverordnung 1 vom 11. August 1999 (AsylV 1, SR 142.311) das Selbsteintrittsrecht landesrechtlich konkretisiert und ge- 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bereits eingehend auf die völker- sowie unionsrechtli- chen Verpflichtungen Kroatiens hingewiesen hat und mit der Vorinstanz davon auszugehen ist, Kroatien anerkenne und schütze die Rechte, die sich für Schutzsuchende daraus ergeben,</w:t>
      </w:r>
    </w:p>
    <w:p>
      <w:r>
        <w:t>E-6975/2023 Seite 6 dass die Vermutung, Kroatien halte seine völker- und gemeinschaftsrecht- lichen Verpflichtungen ein, zwar im Einzelfall widerlegt werden kann, es hierfür aber konkreter und ernsthafter Hinweise bedarf, die von der be- troffenen Person glaubhaft darzutun sind (vgl. BVGE 2010/45 E. 7.4 f.), dass die Beschwerdeführenden mit dem Vorbringen, von einzelnen kroati- schen Polizisten geschlagen worden zu sein, kein konkretes und ernsthaf- tes Risiko dargetan haben, die Behörden würden sich weigern, sie wieder aufzunehmen und ihre Anträge auf internationalen Schutz unter Einhaltung der Regeln der Verfahrensrichtlinie zu prüfen, dass sich Dublin-Rückkehrer nach ständiger Rechtsprechung des Bundes- verwaltungsgericht überdies in einer anderen, legalen Situation befinden, und ihnen – sollten sie nach seiner Rückkehr nach Kroatien wiederum schlecht behandelt werden – die Möglichkeit offensteht, sich an die zustän- dige übergeordnete Stelle zu wenden, gegebenenfalls mit Unterstützung einer Nichtregierungsorganisation, eines Anwaltes oder durch Kontaktauf- nahme mit der kroatischen Ombudsfrau (vgl. Urteil des BVGer E-6518/2023 vom 11. Dezember 2023), dass sodann eine zwangsweise Rückweisung von Personen mit gesund- heitlichen Problemen nur ausnahmsweise einen Verstoss gegen Art. 3 EMRK darstellen kann (vgl. Urteile des EGMR Paposhvili gegen Belgien vom 13. Dezember 2016, Grosse Kammer, 41738/10, §§ 180-193 m.w.H., bestätigt durch Savran gegen Dänemark vom 7. Dezember 2021, Grosse Kammer, 57467/15, §§ 121 ff.), dass die in der Beschwerde neu vorgebrachten gesundheitlichen Probleme des Beschwerdeführers 2 ([…]) nicht derart gravierend sind, dass eine Überstellung nach Kroatien einen Verstoss gegen Art. 3 EMRK darstellen und daher zum Selbsteintritt führen würde, und der Beschwerdeführer 1 nicht geltend macht, gesundheitlich angeschlagen zu sein, dass im Übrigen gemäss ständiger Praxis des Bundesverwaltungsgerichts davon auszugehen ist, Kroatien verfüge über eine ausreichende medizini- sche Infrastruktur, und es dem Beschwerdeführer 2 daher möglich sein wird, allfällige Beschwerden in Kroatien behandeln zu lassen (Referenzur- teil E-1488/2023 a.a.O. E. 10.2 f., Urteile des BVGer F-6644/2023 vom</w:t>
      </w:r>
    </w:p>
    <w:p>
      <w:r>
        <w:rPr>
          <w:b/>
        </w:rPr>
        <w:t>E. 13</w:t>
      </w:r>
    </w:p>
    <w:p>
      <w:r>
        <w:t>Dezember 2023 E. 5.3; E-5581/2023 vom 18. Oktober 2023 E. 7.2 m.w.H.),</w:t>
      </w:r>
    </w:p>
    <w:p>
      <w:r>
        <w:t>E-6975/2023 Seite 7 dass auch allfällige suizidale Äusserungen des Beschwerdeführers 2 einer Überstellung nicht entgegenstehen, wenn der wegweisende Staat Mass- nahmen ergreift, um die Umsetzung einer entsprechenden Suiziddrohung zu verhindern (vgl. EGMR i.S. Dragan und andere gegen Deutschland vom 7. Oktober 2004, Nr. 33743/03, angeführt in EMARK 2005 Nr. 23 E. 5.1; sowie Urteil des BVGer D-1017/2021 vom 21. April 2021 E. 7.4.2.3 ff.), dass allfälligen suizidalen Tendenzen des Beschwerdeführers 2 daher mit entsprechenden Massnahmen bei der Vollzugsorganisation Rechnung zu tragen wäre, und die Reisefähigkeit ohnehin im Zeitpunkt der Überstellung abzuklären ist, wobei die kroatischen Behörden vorgängig über die spezi- fischen medizinischen Bedürfnisse informiert werden (vgl. Art. 31 f. Dublin- III-VO), dass den Akten auch keine anderweitigen Gründe für die Annahme zu ent- nehmen sind, Kroatien werde in vorliegendem Fall den Grundsatz des Non- Refoulement missachten und die Beschwerdeführenden zur Ausreise in ein Land zwingen, in dem ihr Leib, Leben oder ihre Freiheit aus einem Grund nach Art. 3 Abs. 1 AsylG gefährdet ist oder in dem sie Gefahr laufen würden, zur Ausreise in ein solches Land gezwungen zu werden, dass die Ausführungen in der Beschwerde – die sich im Wesentlichen mit Hinweisen auf allgemeine Berichte begnügen – offensichtlich keinen ande- ren Schluss zulassen, dass gemäss Praxis des Bundesverwaltungsgerichts das SEM bei der An- wendung von Art. 29a Abs. 3 AsylV 1 über einen Ermessensspielraum (vgl. BVGE 2015/9 E. 7 f.) verfügt und die angefochtene Verfügung nicht an ei- nem Ermessensfehler leidet, dass den Akten schliesslich keine Anhaltspunkte zu entnehmen sind, wel- che es vorliegend als notwendig erscheinen liessen, von den kroatischen Behörden vorab individuelle Zusicherungen im Zusammenhang mit der Überstellung, der Unterbringung und medizinischen Versorgung einzuho- len, weshalb der entsprechende Subeventualantrag abzuweisen ist, dass die Vorinstanz demnach zu Recht in Anwendung von Art. 31a Abs. 1 Bst. b AsylG auf die Asylgesuche der Beschwerdeführenden nicht einge- treten ist und in Anwendung von Art. 44 AsylG die Wegweisung nach Kro- atien angeordnet hat,</w:t>
      </w:r>
    </w:p>
    <w:p>
      <w:r>
        <w:t>E-6975/2023 Seite 8 dass die Beschwerde demnach abzuweisen und die Verfügung der Vo- rinstanz zu bestätigen ist, dass das Beschwerdeverfahren mit vorliegendem Urteil abgeschlossen ist, weshalb sich der Antrag auf Gewährung der aufschiebenden Wirkung so- wie auf Befreiung von der Kostenvorschusspflicht als gegenstandslos er- weist, dass sodann mit dem vorliegenden Urteil der am 22. Dezember 2023 an- geordnete Vollzugsstopp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unterliegenden Beschwerdeführenden aufzuerlegen sind (Art. 63 Abs. 1 VwVG).</w:t>
      </w:r>
    </w:p>
    <w:p>
      <w:r>
        <w:t>(Dispositiv nächste Seite)</w:t>
      </w:r>
    </w:p>
    <w:p>
      <w:r>
        <w:t>E-6975/2023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