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E-6967/2023 vom 20. November 2023</w:t>
      </w:r>
    </w:p>
    <w:p>
      <w:r>
        <w:t>Bundesverwaltungsgericht, 2023-11-20, FR</w:t>
      </w:r>
    </w:p>
    <w:p>
      <w:r>
        <w:rPr>
          <w:b/>
        </w:rPr>
        <w:t xml:space="preserve">Quelle: </w:t>
      </w:r>
      <w:r>
        <w:t>https://mcp.opencaselaw.ch/entscheid/bvger_E-6967_2023_d20231120</w:t>
      </w:r>
    </w:p>
    <w:p>
      <w:r>
        <w:t>FR: TAF E-6967/2023 du 20 novembre 2023</w:t>
      </w:r>
    </w:p>
    <w:p>
      <w:r>
        <w:t>IT: TAF E-6967/2023 del 20 novembre 2023</w:t>
      </w:r>
    </w:p>
    <w:p>
      <w:pPr>
        <w:pStyle w:val="Heading2"/>
      </w:pPr>
      <w:r>
        <w:t>Regeste</w:t>
      </w:r>
    </w:p>
    <w:p>
      <w:r>
        <w:t>Asile et renvoi (proc&amp;eacute;dure acc&amp;eacute;l&amp;eacute;r&amp;eacute;e) | Asile et renvoi (procédure accélérée); décision du SEM du 20 novembre 2023</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Les recourants ont qualité pour recourir (art. 48 al. 1 PA). Présenté dans la forme (art. 52 al. 1 PA) et le délai (art. 108 al. 1 LAsi, en lien avec</w:t>
      </w:r>
    </w:p>
    <w:p>
      <w:r>
        <w:t>E-6967/2023 Page 5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les recourants,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leur conclusion en cassation, les intéressés se plaignent d’une violation de leur droit d'être entendu, faisant valoir le caractère insuffisant de l’instruction et reprochant à l’autorité inférieure d’avoir statué sur la base d’un état de fait incomplet. Selon eux, l’audition du 9 novembre 2023 aurait été menée dans de mauvaises conditions, A._______ n’ayant pas pu s’exprimer librement et ayant à plusieurs reprises été interrompue par la chargée d’audition, laquelle aurait relevé que les motifs qu’elle alléguait n’étaient pas pertinents, ce qui l’aurait influencée à tenir un discours plus censuré. La recourante n’aurait au demeurant pas pu exposer tous ses motifs d’asile, en particulier ceux liés aux activités politiques de son mari. A cet égard, sa représentante juridique n’aurait pas été autorisée à lui poser de questions, bien que ceux-ci puissent constituer des persécutions réfléchies déterminantes au sens de l’art. 3 LAsi.</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w:t>
      </w:r>
    </w:p>
    <w:p>
      <w:r>
        <w:t>E-6967/2023 Page 6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les critiques des intéressés en lien avec la tenue de l’audition sont infondées. Il ne ressort en effet pas du procès-verbal de l’audition du 9 novembre 2023 que la recourante n’aurait pas été en mesure d’exposer librement ses motifs d’asile. Elle a ainsi pu s’exprimer sans interruption à l’occasion de son récit libre (cf. procès-verbal [pv] d’audition, Q54 à 59). Certes, à un moment donné, la chargée d’audition a relevé que le motif tiré du tremblement de terre survenu en Turquie n’était pas pertinent pour la qualité de réfugié et a invité la recourante à exposer ses éventuels autres motifs (cf. ibidem, Q54). Or, l’intéressée a alors pu poursuivre son récit. Par ailleurs, le fait que la chargée d’audition lui ait fait remarquer que ses déclarations en lien avec des événements remontant à 2017, voire plus anciens (cf. ibidem, R54 et 57), n’étaient pas en lien de causalité temporelle avec son départ du pays en 2023, n’est pas non plus critiquable. L’on ne discerne en effet pas en quoi les interventions de l’auditrice du SEM visant à recentrer les allégations de la recourante sur les aspects potentiellement pertinents de son récit à l’aune des questions juridiques à trancher dans le cas particulier auraient porté atteinte aux garanties de procédure. En outre, à aucun moment la recourante n’a saisi l’occasion de se prévaloir d’un risque de persécutions futures de manière réfléchie en raison des activités de son époux pour le HDP. Au contraire, elle a affirmé qu’il s’était retiré du parti et n’a pas allégué qu’il aurait fait l’objet de représailles ou d’autres mesures de la part du gouvernement ou de tiers. Dans ces circonstances, il ne saurait être reproché au SEM d’avoir refusé de plus amples questions de la représentation juridique à ce sujet, étant encore souligné que les intéressés n’exposent aucun élément nouveau en lien avec les activités politiques de leur mari, respectivement père, dans leur recours. Partant, les recourants ne peuvent valablement se prévaloir d’aucune violation des devoirs d’instruction du SEM en vertu de la maxime inquisitoire.</w:t>
      </w:r>
    </w:p>
    <w:p>
      <w:r>
        <w:rPr>
          <w:b/>
        </w:rPr>
        <w:t>E. 2.5</w:t>
      </w:r>
    </w:p>
    <w:p>
      <w:r>
        <w:t>Les griefs formels s’avérant mal fondés, ils doivent être écartés.</w:t>
      </w:r>
    </w:p>
    <w:p>
      <w:r>
        <w:t>E-6967/2023 Page 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w:t>
      </w:r>
    </w:p>
    <w:p>
      <w:r>
        <w:t>E-6967/2023 Page 8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la décision querellée, le SEM a estimé que les conditions de l’art. 3 LAsi n’étaient pas remplies. Il a d’abord retenu que le séisme et les conditions de vie difficiles qui s’en sont suivies ne constituaient pas un motif d’asile pertinent, faute de reposer sur l’un des motifs exhaustivement énumérés dans cette disposition. Ensuite, il a relevé que les tracasseries et discriminations que pouvait rencontrer la population kurde alévie en Turquie ne revêtent pas une intensité suffisante pour être déterminantes et que rien ne permettait, de manière générale, de retenir l’existence d’une persécution collective à leur égard. Les problèmes qu’auraient rencontrés les recourants en raison de leur appartenance ethnique ainsi que de la qualité de femme de A._______ (pendant l’enfance de celle-ci et sur son lieu de travail), n’étaient pas d’une intensité suffisante et ne dépassaient pas les désavantages auxquels était confrontée une grande partie de la population kurde en Turquie. Il a retenu que l’intéressée avait pu faire des études universitaires et endossé une fonction publique jusqu’à son départ, ce qui lui avait permis d’obtenir un "passeport vert" pour elle ainsi que ses enfants, et de quitter légalement le pays. S’agissant d’un risque de persécutions étatiques futures en cas de retour, l’autorité inférieure a retenu qu’il consistait en de simples hypothèses étayées par aucun élément objectif. Les recourants n’avaient personnellement pas rencontré de problème avec les autorités turques, ni n’avaient allégué d’activités politiques susceptibles de leur en causer ou de motiver un intérêt de leur part à les persécuter, étant souligné que leur famille au pays n’avait pas été inquiétée depuis leur départ. En outre, il ne ressortait pas du dossier qu’une procédure judiciaire aurait été ouverte contre la recourante.</w:t>
      </w:r>
    </w:p>
    <w:p>
      <w:r>
        <w:rPr>
          <w:b/>
        </w:rPr>
        <w:t>E. 4.2</w:t>
      </w:r>
    </w:p>
    <w:p>
      <w:r>
        <w:t>Après examen du dossier, le Tribunal peut se rallier à cet examen.</w:t>
      </w:r>
    </w:p>
    <w:p>
      <w:r>
        <w:rPr>
          <w:b/>
        </w:rPr>
        <w:t>E. 4.2.1</w:t>
      </w:r>
    </w:p>
    <w:p>
      <w:r>
        <w:t>D’abord, le tremblement de terre qui a touché notamment la province d’origine des intéressés et leurs conditions de vie difficiles suite à cet événement ne constituent pas un motif d’asile au sens de l’art. 3 al. 1 LAsi (pas de persécutions ciblées contre eux pour l’un des motifs exhaustivement énumérés dans cette disposition).</w:t>
      </w:r>
    </w:p>
    <w:p>
      <w:r>
        <w:t>E-6967/2023 Page 9</w:t>
      </w:r>
    </w:p>
    <w:p>
      <w:r>
        <w:rPr>
          <w:b/>
        </w:rPr>
        <w:t>E. 4.2.2</w:t>
      </w:r>
    </w:p>
    <w:p>
      <w:r>
        <w:t>Ensuite,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les réf. citées). L'appartenance des recourants à la communauté kurde alévie, les ennuis qu’ils auraient subis pour cette raison (qui pour la plupart remontent à plusieurs années avant leur fuite) ainsi que la discrimination professionnelle envers A._______ ne sauraient, de par leur manque d’intensité, aboutir à la reconnaissance de la qualité de réfugié.</w:t>
      </w:r>
    </w:p>
    <w:p>
      <w:r>
        <w:rPr>
          <w:b/>
        </w:rPr>
        <w:t>E. 4.2.3</w:t>
      </w:r>
    </w:p>
    <w:p>
      <w:r>
        <w:t>En outre, le dossier ne comporte aucun élément qui démontrerait que la recourante aurait un profil particulier susceptible d’intéresser les autorités turques, sa crainte ne reposant que sur de simples hypothèses. Elle ne fait pas l’objet d’une procédure judiciaire, n’est membre d’aucun parti et n’a pas exercé d’activités politiques qui auraient pu attirer sur elle l’attention des autorités. Au contraire, comme déjà dit précédemment, elle a pu exercer une fonction publique jusqu’à son départ du pays, obtenir des "passeports verts" et quitter légalement la Turquie avec ses enfants, sans aucune répercussion négative postérieure envers des membres de sa famille.</w:t>
      </w:r>
    </w:p>
    <w:p>
      <w:r>
        <w:rPr>
          <w:b/>
        </w:rPr>
        <w:t>E. 4.2.4</w:t>
      </w:r>
    </w:p>
    <w:p>
      <w:r>
        <w:t>Il ne ressort pas non plus du dossier qu’elle se trouverait dans le collimateur des autorités turques à cause de son mari. En effet, celui-ci aurait retiré son adhésion au HDP et continuerait d’exercer comme médecin à l’hôpital de E._______, sans qu’aucun allégué ni élément au dossier n’établisse qu’il serait à ce jour recherché ou dans le collimateur des autorités turques en raison de son engagement politique passé.</w:t>
      </w:r>
    </w:p>
    <w:p>
      <w:r>
        <w:rPr>
          <w:b/>
        </w:rPr>
        <w:t>E. 4.2.5</w:t>
      </w:r>
    </w:p>
    <w:p>
      <w:r>
        <w:t>Vu ce qui précède, aucun élément au dossier ne démontre que la crainte des intéressés de subir de sérieux préjudices au sens de l’art. 3 LAsi serait objectivement fondée.</w:t>
      </w:r>
    </w:p>
    <w:p>
      <w:r>
        <w:rPr>
          <w:b/>
        </w:rPr>
        <w:t>E. 4.2.6</w:t>
      </w:r>
    </w:p>
    <w:p>
      <w:r>
        <w:t>Pour le reste, le Tribunal renvoie aux considérants détaillés de la décision du SEM en lien avec le manque de pertinence des motifs d’asile invoqués. Ceux-ci sont suffisamment explicites et motivés (art. 109 al. 3 LTF, par renvoi de l’art. 4 PA), et le recours ne contient aucun argument déterminant susceptible de remettre en cause le bien-fondé de la décision du SEM du 20 novembre 2023.</w:t>
      </w:r>
    </w:p>
    <w:p>
      <w:r>
        <w:t>E-6967/2023 Page 10</w:t>
      </w:r>
    </w:p>
    <w:p>
      <w:r>
        <w:rPr>
          <w:b/>
        </w:rPr>
        <w:t>E. 4.3</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les recourants n'ont pas réussi à établir qu'en cas de retour dans leur pays d'origine, ils seraient exposés à de sérieux préjudices au sens de l'art. 3 LAsi.</w:t>
      </w:r>
    </w:p>
    <w:p>
      <w:r>
        <w:rPr>
          <w:b/>
        </w:rPr>
        <w:t>E. 7.3</w:t>
      </w:r>
    </w:p>
    <w:p>
      <w:r>
        <w:t>Pour les mêmes raisons, ils ne sauraient invoquer à bon escient un véritable risque concret et sérieux d'être victimes de tortures ou de traitements inhumains ou dégradants lors de l’exécution de leur renvoi en Turquie du fait d’agents étatiques ou de tiers, voire pour une autre raison.</w:t>
      </w:r>
    </w:p>
    <w:p>
      <w:r>
        <w:t>E-6967/2023 Page 11</w:t>
      </w:r>
    </w:p>
    <w:p>
      <w:r>
        <w:rPr>
          <w:b/>
        </w:rPr>
        <w:t>E. 7.4</w:t>
      </w:r>
    </w:p>
    <w:p>
      <w:r>
        <w:t>Dès lors,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w:t>
      </w:r>
    </w:p>
    <w:p>
      <w:r>
        <w:t>E-6967/2023 Page 12 E-1308/2023 du 19 mars 2024 [publié comme arrêt de référence] consid. 10 ss ; E-4428/2023 du 15 avril 2024 consid. 7.4.1 et réf. cit.). Comme le Tribunal l’a également constaté, la Turquie connaît le principe de la liberté d’établissement, qui offre aux intéressés l’alternative de s’installer dans une autre région de ce pays (cf., parmi d’autres, arrêt du Tribunal E-4066/2020 du 1er février 2024 consid. 8.3).</w:t>
      </w:r>
    </w:p>
    <w:p>
      <w:r>
        <w:rPr>
          <w:b/>
        </w:rPr>
        <w:t>E. 8.3</w:t>
      </w:r>
    </w:p>
    <w:p>
      <w:r>
        <w:t>En l’espèce, le SEM a constaté, à juste titre, qu’il ne ressortait pas du dossier que les recourants pourraient, pour des raisons individuelles, se retrouver dans une situation menaçant leur existence en cas de retour en Turquie. Certes, ils sont originaires et ont essentiellement vécu dans la province d’Adiyaman, laquelle a été fortement impactée par les tremblements de terre du 6 février 2023. En outre, touchés personnellement par le séisme, leur maison n’était selon eux plus habitable au moment de leur fuite. A l’instar de l’autorité intimée, il y a cependant lieu de relever que l’intéressée parle le turc, est titulaire d’un bachelor en économie d’entreprise et a travaillé en tant que fonctionnaire étatique auprès de (…) pendant (…) ans, emploi qu’elle a exercé jusqu’à son départ du pays (cf. pv de son audition sur les motifs, R28 ss). A côté de son travail, elle a suivi des études universitaires en marketing et droit, au terme desquelles elle a obtenu un diplôme, ainsi qu’en ingénierie de l’agriculture, soit autant de facteurs qui faciliteront sa réinstallation en Turquie. Apte à travailler, malgré deux enfants à charge, il peut donc être attendu d’elle, compte tenu notamment de son parcours professionnel et des soutiens dont elle peut escompter, qu’elle s’efforce de vivre et de travailler dans une autre province, eu égard à la liberté d’établissement en Turquie, en attendant que son logement soit à nouveau habitable. Dans ce cadre, il lui appartiendra de renouer avec son époux, avec qui elle est toujours en contact et dont il peut être attendu qu’il la soutienne financièrement, puisqu’il est médecin et a pu financer le voyage de sa femme et de ses enfants jusqu’en Suisse. Les recourants disposent d’un large réseau familial et social au pays, où vivent les parents ainsi que les frères et sœurs de l’intéressée, avec qui elle entretient selon ses dires de très bonnes relations. Il leur sera également loisible de s’adresser aux deux sœurs de la recourante à Gaziantep (moins touchée qu’Adiyaman) ou à son grand frère à F._______ (district de Bandirman), étant relevé qu’ils disposent encore d’autres membres de la famille hors d’Adiyaman vers qui ils pourraient se tourner dans un premier temps. Leur situation financière est également favorable et, dans leurs efforts de réinstallation, ils pourront compter sur le grand frère de l’intéressée qui est enseignant à l’université, sur un autre frère aux Etats-Unis ainsi qu’un parent plus éloigné installé en</w:t>
      </w:r>
    </w:p>
    <w:p>
      <w:r>
        <w:t>E-6967/2023 Page 13 Suisse. Partant, il apparaît que les recourants disposent des ressources nécessaires pour se réinstaller en Turquie, pays qu’ils n’ont quitté que depuis neuf mois, les facteurs susmentionnés permettant d’exclure qu’ils seraient, selon toute probabilité, conduits irrémédiablement à un dénuement complet en cas de retour. Les conséquences des tremblements de terre ne s’opposent dès lors pas à l’exécution du renvoi des recourants dans le cas particulier.</w:t>
      </w:r>
    </w:p>
    <w:p>
      <w:r>
        <w:rPr>
          <w:b/>
        </w:rPr>
        <w:t>E. 8.4</w:t>
      </w:r>
    </w:p>
    <w:p>
      <w:r>
        <w:t>S’agissant de leur état de santé, A._______ présente un état de stress post-traumatique (ci-après : PTSD). Suite à une consultation, le 20 novembre 2023, en raison d’insomnies et d’un état anxieux, un antidépresseur (Trittico, 25mg/jour) ainsi qu’un anxiolytique à base d’essence de lavande (Laitea, 80mg/jour) lui ont été prescrits, et une psychothérapie de soutien a été recommandée. B._______ souffre de troubles psychologiques post-traumatiques avec incontinence urinaire nocturne réactionnelle (un suivi pédopsychiatrique est préconisé), de vitiligo de la paupière supérieure droite ainsi que d’une anémie probablement ferriprive, toutes deux traitées. C._______ présente un strabisme alternant des deux yeux, traité par occlusion successive quotidienne de chaque œil pendant deux heures, ainsi qu’une dyshidrose (forme d’eczéma dû à la chaleur) palmaire des doigts des mains.</w:t>
      </w:r>
    </w:p>
    <w:p>
      <w:r>
        <w:rPr>
          <w:b/>
        </w:rPr>
        <w:t>E. 8.4.1</w:t>
      </w:r>
    </w:p>
    <w:p>
      <w:r>
        <w:t>Au vu du tableau clinique, il ne fait aucun doute que les intéressés ont été traumatisés par le tremblement de terre qui les a directement touchés, ainsi que par les conséquences du séisme sur leurs conditions de vie. Toutefois, on ne saurait prolonger indéfiniment leur séjour en Suisse pour ce motif. Les troubles psychiques post-traumatiques dont ils sont atteints (PTSD, insomnie, incontinence urinaire nocturne réactionnelle, repli sur soi) ne présentent pas de gravité au sens de la jurisprudence susmentionnée (cf. consid. 8.1 supra) et ne sauraient donc faire obstacle à l’exécution du renvoi, étant de surcroît rappelé qu’en cas de besoin, des soins essentiels pour les troubles psychiques sont disponibles en Turquie (cf. arrêt de référence du Tribunal E‑1948/2018 du 12 juin 2018 consid. 7.3.5.3, toujours d’actualité, cf. p. ex. arrêt E-2058/2024 du 30 avril 2024, p. 12). Quant aux problèmes de santé somatiques que présentent les intéressés (vitiligo, anémie, naevus congénital dorsal, pharyngite virale, otite aigue bilatérale, strabisme et dyshidrose palmaire), pour autant qu’ils soient encore d’actualité, ils sont également de peu de gravité (certains ont été pris en charge en Turquie, et d’autres ont été traités et soignés en Suisse).</w:t>
      </w:r>
    </w:p>
    <w:p>
      <w:r>
        <w:t>E-6967/2023 Page 14</w:t>
      </w:r>
    </w:p>
    <w:p>
      <w:r>
        <w:rPr>
          <w:b/>
        </w:rPr>
        <w:t>E. 8.5</w:t>
      </w:r>
    </w:p>
    <w:p>
      <w:r>
        <w:t>L'autorité doit encore prendre en considération le principe de l'intérêt supérieur de l'enfant lorsqu'elle statue sur l'exigibilité du renvoi de requérants d'asile mineurs, comme en l’espèce.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l’occurrence, B._______ est arrivé en Suisse à l’âge de (…) ans et y séjourne depuis seulement neuf mois, de sorte qu’il n’est pas à ce point intégré en Suisse que l’exécution du renvoi aurait pour effet un déracinement. S’agissant du cadet, vu son jeune âge ([…] ans et […] mois), du milieu exclusivement familial dans lequel il évolue et de la période limitée de temps passée en Suisse, rien ne s'oppose à son renvoi en Turquie.</w:t>
      </w:r>
    </w:p>
    <w:p>
      <w:r>
        <w:rPr>
          <w:b/>
        </w:rPr>
        <w:t>E. 8.6</w:t>
      </w:r>
    </w:p>
    <w:p>
      <w:r>
        <w:t>En conclusion, vu les considérants qui précèdent, l’exécution du renvoi des recourants doit être considérée comme raisonnablement exigible.</w:t>
      </w:r>
    </w:p>
    <w:p>
      <w:r>
        <w:rPr>
          <w:b/>
        </w:rPr>
        <w:t>E. 9</w:t>
      </w:r>
    </w:p>
    <w:p>
      <w:r>
        <w:t>Les recourants, titulaires de cartes d'identité en cours de validité, sont en possession de documents suffisants pour rentrer dans leur pays.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des intéressés, de sorte que sur cette question également, la décision querellée doit être confirmée et le recours rejeté.</w:t>
      </w:r>
    </w:p>
    <w:p>
      <w:r>
        <w:rPr>
          <w:b/>
        </w:rPr>
        <w:t>E. 11</w:t>
      </w:r>
    </w:p>
    <w:p>
      <w:r>
        <w:t>Le recours s'avérant manifestement infondé, il est rejeté dans une</w:t>
      </w:r>
    </w:p>
    <w:p>
      <w:r>
        <w:t>E-6967/2023 Page 15 procédure à juge unique, avec l'approbation d'un second juge (art. 111 let. e LAsi).</w:t>
      </w:r>
    </w:p>
    <w:p>
      <w:r>
        <w:rPr>
          <w:b/>
        </w:rPr>
        <w:t>E. 12.1</w:t>
      </w:r>
    </w:p>
    <w:p>
      <w:r>
        <w:t>Dans la mesure où les conclusions du recours étaient d'emblée vouées à l'échec, la demande d'assistance judiciaire partielle doit être rejetée, une des conditions à son octroi n’étant pas réalisée (art. 65 al. 1 PA).</w:t>
      </w:r>
    </w:p>
    <w:p>
      <w:r>
        <w:rPr>
          <w:b/>
        </w:rPr>
        <w:t>E. 12.2</w:t>
      </w:r>
    </w:p>
    <w:p>
      <w:r>
        <w:t>Au vu de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w:t>
      </w:r>
    </w:p>
    <w:p>
      <w:r>
        <w:t>(dispositif : page suivante)</w:t>
      </w:r>
    </w:p>
    <w:p>
      <w:r>
        <w:t>E-6967/2023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