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E-6965/2010 vom 5. November 2010</w:t>
      </w:r>
    </w:p>
    <w:p>
      <w:r>
        <w:t>Bundesverwaltungsgericht, 2010-11-05, DE</w:t>
      </w:r>
    </w:p>
    <w:p>
      <w:r>
        <w:rPr>
          <w:b/>
        </w:rPr>
        <w:t xml:space="preserve">Quelle: </w:t>
      </w:r>
      <w:r>
        <w:t>https://mcp.opencaselaw.ch/entscheid/bvger_E-6965_2010</w:t>
      </w:r>
    </w:p>
    <w:p>
      <w:r>
        <w:t>FR: TAF E-6965/2010 du 5 novembre 2010</w:t>
      </w:r>
    </w:p>
    <w:p>
      <w:r>
        <w:t>IT: TAF E-6965/2010 del 5 novembre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Auf die Durchführung eines Schriftenwechsels wurde vorliegend verzichtet (Art. 111a Abs. 1 AsylG).</w:t>
      </w:r>
    </w:p>
    <w:p>
      <w:r>
        <w:rPr>
          <w:b/>
        </w:rPr>
        <w:t>E. 4</w:t>
      </w:r>
    </w:p>
    <w:p>
      <w:r>
        <w:t>Vorab ist anzumerken, dass die rechtliche Regelung eines Rechtsverhältnisses, welche die Verfügung mit Verbindlichkeitsanspruch trifft, klar und eindeutig aus der "Verfügungsformel" (Dispositiv) hervorgehen soll (vgl. Fritz Gygi, Bundesverwaltungsrechtspflege, 2. Aufl., Bern 1983, S. 130 ff., mit Verweis auf die Rechtsprechung). Das Dispositiv bildet den vom Bundesverwaltungsgericht zu überprüfenden Anfechtungsgegenstand, wobei bei Fehlen eines solchen einem Gesuchsteller formal auch die Möglichkeit genommen wird, den Anfechtungsgegenstand zu beschränken. Im vorliegenden Fall fehlt in der angefochtenen Verfügung das Dispositiv. Dabei dürfte wohl aber von einem Versehen seitens des BFM ausgegangen werden, zumal diese Vorgehensweise nicht der sonst üblichen Praxis des BFM entspricht. Eine abschliessende Beurteilung dieser Thematik kann jedoch an dieser Stelle aufgrund der nachfolgenden Erwägungen und des Verfahrensausgangs letztlich offengelassen werden.</w:t>
      </w:r>
    </w:p>
    <w:p>
      <w:r>
        <w:rPr>
          <w:b/>
        </w:rPr>
        <w:t>E. 5.1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AsylV 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5.2</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Gemäss Praxis ist im Auslandverfahren die asylsuchende Person in der Regel somit zu befragen.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darzulegen.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Entscheide des Schweizerischen Bundesverwaltungsgerichts [BVGE] 2007/30 E. 5).</w:t>
      </w:r>
    </w:p>
    <w:p>
      <w:r>
        <w:rPr>
          <w:b/>
        </w:rPr>
        <w:t>E. 6.1</w:t>
      </w:r>
    </w:p>
    <w:p>
      <w:r>
        <w:t>Im vorliegenden Fall fand keine Befragung der Beschwerdeführenden durch die Botschaft statt. Des Weiteren ergibt sich zwar aus dem Schreiben der Botschaft an das BFM (s. Bst. B vorstehend), dass ihnen am 3. Juli 2009 ein Schreiben zur "Vertiefung der Asylgründe" zugeschickt worden sei, welches sie jedoch nicht beantwortet hätten. Das entsprechende Schreiben wird jedoch weder im Aktenverzeichnis aufgelistet noch befindet es sich tatsächlich bei den Akten. In der Folge wurde ihnen am 9. Juni 2010 das rechtliche Gehör zum beabsichtigten negativen Entscheid gewährt. Vorliegend kann nicht abschliessend beurteilt werden, ob eine Befragung der Beschwerdeführenden durch die Botschaft möglich gewesen respektive eine Abweichung von der Regel gerechtfertigt gewesen ist. In der angefochtenen Verfügung (wie auch im vorgängig gewährten rechtlichen Gehör) wird lediglich darauf hingewiesen, dass der Sachverhalt gestützt auf die vorhandene Aktenlage abschliessend beurteilbar sei, weshalb sich sinngemäss eine direkte Anhörung der Beschwerdeführenden zu ihren Asylgründen erübrigen würde. Das Bundesamt ist jedoch gehalten, das Absehen von einer Befragung in seinem Entscheid substanziiert zu begründen (vgl. dazu auch BVGE 2007/30 E. 5). So lässt sich auch in keiner Art nachvollziehen, wie und aufgrund welcher Überlegungen das BFM sich in diesem fast ausschliesslich spanischsprachigen Dossier seine Meinung hat bilden können. Ferner lassen die vorinstanzlichen Akten auch einen ergänzenden Bericht über die Beurteilung des Asylgesuchs im Sinne von Art. 10 Abs. 3 AsylV 1 vermissen.</w:t>
      </w:r>
    </w:p>
    <w:p>
      <w:r>
        <w:rPr>
          <w:b/>
        </w:rPr>
        <w:t>E. 6.2</w:t>
      </w:r>
    </w:p>
    <w:p>
      <w:r>
        <w:t>Das BFM hält in der angefochtenen Verfügung - wie soeben dargelegt - fest, die Gefährdungssituation der Beschwerdeführenden könne aufgrund der Akten abschliessend beurteilt werden. Aus den Eingaben in den Vorakten, die nicht in eine Amtssprache übersetzt vorliegen, lassen sich indessen nicht alle entscheidrelevanten Informationen in Bezug auf die Urheber und die Aktualität ihrer Probleme sowie die von ihnen unternommenen Schritte zum Erhalt oder zur Wahrung eines innerstaatlichen Schutzes entnehmen, weshalb der rechtserhebliche Sachverhalt als nicht genügend abgeklärt zu gelten hat. Schon aus diesen Gründen hätte sich eine Übersetzung der wesentlichen Dokumente und allenfalls eine Befragung beziehungsweise eine (nochmalige) schriftliche Aufforderung zu weiteren Konkretisierungen aufgedrängt.</w:t>
      </w:r>
    </w:p>
    <w:p>
      <w:r>
        <w:rPr>
          <w:b/>
        </w:rPr>
        <w:t>E. 6.3</w:t>
      </w:r>
    </w:p>
    <w:p>
      <w:r>
        <w:t>Für die Beurteilung der Flüchtlingseigenschaft ist ferner nach der aktuell vorhandenen Furcht zu fragen und dabei zu prüfen, ob die Furcht vor einer absehbaren Verfolgung besteht und begründet ist. Eine erlittene Verfolgung beziehungsweise eine begründete Furcht vor künftiger Verfolgung auf dem ganzen Gebiet Kolumbiens muss grund-sätzlich im Zeitpunkt des Asylentscheids aktuell sein. Aus dem verfassungsmässigen Anspruch auf das rechtliche Gehör (vgl. Art. 29 Abs. 2 BV) ergibt sich zwar noch keine Pflicht der Behör-den, zu allen im Verfahren vorgetragenen Elementen ausführlich Stel-lung zu nehmen; die Behörden dürfen sich bei der Begründung auf die für den Entscheid wesentlichen Gesichtspunkte beschränken. Der Un-tersuchungsgrundsatz betrifft die richtige und vollständige Feststellung des rechtserheblichen Sachverhaltes der Streitsache. Er fordert aber dort eine eingehende Amtsermittlung, wo es sachverhaltsgerecht er-scheint. Die urteilende Instanz soll somit in eigener Verantwortung beweismässig die tatsächlichen Geschehnisse und Gegebenheiten (Urteilsgrundlagen) ermitteln, aus denen sich die Rechtsfolgen erge-ben (vgl. dazu Fritz Gygi, a.a.O., S. 206). Bei diesen Prämissen wären die eingereichten Beweismittel in Bezug auf ihre Erheblichkeit für das vorliegende Verfahren zumindest sum-marisch zu würdigen. Die Vorinstanz begnügte sich indessen damit, darauf hinzuweisen, dass mehrere Dokumente in Kopie zu den Akten gereicht worden seien, auf deren Inhalt im Abschnitt II eingegangen werde (s. Abschnitt I, Ziff. 2), unterlässt es dann aber gänzlich, zu irgendeinem der eingereichten Dokumente konkret Stellung zu nehmen und beschränkt sich auf die pauschale Bemerkung, diese vermöchten am Ausgang des Verfahrens nichts zu ändern (s. dort Abschnitt II, Ziff. 3). Ein Betroffener hat somit keine Kenntnis über die Art und die Würdigung der geprüften Beweismittel. Bei den eingereichten Beweismitteln befanden sich aber beispielsweise Schreiben der Beschwerdeführerin an verschiedene Behörden, insbesondere der Staatsanwaltschaft und des Innen- und Justizministeriums von Bogotá, Diplome, Zeitungsberichte, Unterlagen des Sozialhilfeamtes, notariell beglaubigte Erklärungen sowie Ehe- und Geburtsscheine. Diese Dokumente könnten von ihrer Art durchaus geeignet sein, einen wesentlichen Einfluss auf den Ausgang eines Asylverfahrens zu haben. Mit anderen Worten kann eine valable innerstaatliche Fluchtalternative respektive das Fehlen einer grenzüberschreitenden Gefährdung kaum bejaht werden ohne substanziierte Auseinandersetzung mit den eingereichten Beweismitteln. Demnach erweisen sich auch in diesem Zusammenhang die wesentlichen Sachverhaltsteile des vorliegenden Falles als nicht rechtsgenüglich festgestellt und gewürdigt. Mithin liegt eine Verletzung des Anspruchs auf das rechtliche Gehör vor, welche angesichts ihrer formellen Natur grundsätzlich zur Aufhebung der angefochtenen Verfügung führt.</w:t>
      </w:r>
    </w:p>
    <w:p>
      <w:r>
        <w:rPr>
          <w:b/>
        </w:rPr>
        <w:t>E. 6.4</w:t>
      </w:r>
    </w:p>
    <w:p>
      <w:r>
        <w:t>Die Vorakten (Korrespondenz und Beweismittel) liegen bis auf den internen Abschreibungsbeschluss, die Überweisungsschreiben der Schweizer Botschaft, die Stellungnahme vom 12. Juli 2010 und die angefochtene Verfügung ausschliesslich in spanischer Sprache vor. Aufgrund der Mitwirkungspflicht der Parteien kann das BFM von Asylsuchenden verlangen, für die Übersetzung ihrer fremdsprachigen Dokumente besorgt zu sein (vgl. Art. 8 Abs. 2 AsylG). Verzichtet das BFM hierauf, hat es jedenfalls im Rahmen einer gehörigen Dossierführung jene Schriftstücke - zumindest in summarischer Weise - von Amtes wegen übersetzen zu lassen, die für die Beurteilung der Sach- und Rechtslage von Bedeutung sind, zumal es nicht Aufgabe der Rechtsmittelinstanz ist, sich vorab um die Übersetzung vorinstanzlicher Akten zu kümmern.</w:t>
      </w:r>
    </w:p>
    <w:p>
      <w:r>
        <w:rPr>
          <w:b/>
        </w:rPr>
        <w:t>E. 6.5</w:t>
      </w:r>
    </w:p>
    <w:p>
      <w:r>
        <w:t>Die obigen Ausführungen und Schlussfolgerungen führen indessen nicht dazu, dass den Beschwerdeführenden die Einreise in die Schweiz bereits deshalb zu bewilligen wäre. Angesichts der Aktenlage bestehen - auch mangels Kenntnis des Inhalts der eingereichten Beweismittel - nicht genügend konkrete Anhaltspunkte für die Annahme, ihnen wäre ein Verbleib in Kolumbien für die Dauer der weiteren, noch erforderlichen Verfahrenshandlungen nicht zumutbar im Sinne von Art. 20 Abs. 2 AsylG.</w:t>
      </w:r>
    </w:p>
    <w:p>
      <w:r>
        <w:rPr>
          <w:b/>
        </w:rPr>
        <w:t>E. 6.6</w:t>
      </w:r>
    </w:p>
    <w:p>
      <w:r>
        <w:t>Zusammenfassend ist festzuhalten, dass die Vorinstanz den Anspruch der Beschwerdeführenden auf das rechtliche Gehör verletzt hat. Dieser Mangel kann auf Beschwerdeebene nicht geheilt werden, zumal es nicht Sinn und Zweck des Beschwerdeverfahrens vor dem Bundesverwaltungsgericht ist, von der Vorinstanz unterlassene Verfahrenshandlungen nachzuholen. Gegen eine Heilung des festgestellten Verfahrensmangels spricht insbesondere auch der Umstand, dass andernfalls den Beschwerdeführenden eine Instanz verloren ginge (vgl. dazu Entscheidungen und Mitteilungen der [vormaligen] Schweizerischen Asylrekurskommission [EMARK] 1998 Nr. 34 E. 10d S. 292; vgl. BVGE 2008/47 E. 3.3.4 S. 676 f.). Dies wiegt umso schwerer, als es vorliegend einerseits um die zentrale Frage der Prüfung des Vorliegens einreiserelevanter Verfolgung geht, und anderseits dieser Entscheid des Bundesverwaltungsgerichts durch ein ordentliches Rechtsmittel nicht mehr angefochten werden könnte, was für die Beschwerdeführenden einen erheblichen Nachteil darstellen würde.</w:t>
      </w:r>
    </w:p>
    <w:p>
      <w:r>
        <w:rPr>
          <w:b/>
        </w:rPr>
        <w:t>E. 7</w:t>
      </w:r>
    </w:p>
    <w:p>
      <w:r>
        <w:t>Nach dem Gesagten ist die Beschwerde im Sinne der Erwägungen gutzuheissen. Die vorinstanzliche Verfügung vom 12. August 2010 ist aufzuheben und die Vorinstanz anzuweisen, den rechtserheblichen Sachverhalt vollständig festzustellen, die sachverhaltsrelevanten Dokumente zu übersetzen und in der Sache neu zu entscheiden.</w:t>
      </w:r>
    </w:p>
    <w:p>
      <w:r>
        <w:rPr>
          <w:b/>
        </w:rPr>
        <w:t>E. 8.1</w:t>
      </w:r>
    </w:p>
    <w:p>
      <w:r>
        <w:t>Bei diesem Ausgang des Verfahrens sind keine Kosten aufzuerlegen (Art. 63 Abs. 1 und 2 VwVG).</w:t>
      </w:r>
    </w:p>
    <w:p>
      <w:r>
        <w:rPr>
          <w:b/>
        </w:rPr>
        <w:t>E. 8.2</w:t>
      </w:r>
    </w:p>
    <w:p>
      <w:r>
        <w:t>Die Beschwerdeführenden haben sich für das Verfahren nicht vertreten lassen, folglich sind ihnen keine Kosten erwachsen. Aus den Akten gehen auch keine weiteren zu entschädigende Auslagen hervor. Daher ist ihnen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