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E-6956/2011 vom 6. September 2013</w:t>
      </w:r>
    </w:p>
    <w:p>
      <w:r>
        <w:t>Bundesverwaltungsgericht, 2013-09-06, DE</w:t>
      </w:r>
    </w:p>
    <w:p>
      <w:r>
        <w:rPr>
          <w:b/>
        </w:rPr>
        <w:t xml:space="preserve">Quelle: </w:t>
      </w:r>
      <w:r>
        <w:t>https://mcp.opencaselaw.ch/entscheid/bvger_E-6956_2011</w:t>
      </w:r>
    </w:p>
    <w:p>
      <w:r>
        <w:t>FR: TAF E-6956/2011 du 6 septembre 2013</w:t>
      </w:r>
    </w:p>
    <w:p>
      <w:r>
        <w:t>IT: TAF E-6956/2011 del 6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seiner Verfügung auf den Standpunkt, die Vorbringen des Beschwerdeführers 1 zu seinen angeblichen Problemen mit den Behörden wegen seiner verlegerischen und jour­nalistischen Tätigkeit seien in wesentlichen Punkten tatsachenwidrig und widersprüchlich ausgefallen und daher als unglaubhaft zu erachten. Mit der am 1. Juni 2005 in Kraft getretenen Revision der Strafprozessordnung und des Strafrechts der Türkei seien die Rechte verdächtigter und angeschuldigter Personen stark verbessert worden. So würden entgegen der Darstellung des Beschwerdeführers 1 keine Hausdurchsuchungen mehr ohne Durchsuchungsbefehl stattfinden. Die geschilderten mehrfachen Hausdurchsuchungen würden überdies keinen Sinn ergeben, da im Falle der Entdeckung verdächtigen Materials ein Strafverfahren eingeleitet worden wäre. Es könne nicht geglaubt werden, dass die Einstellung der Publikation der Zeitung ohne schriftliche Verfügung angeordnet worden sei, und zudem sei nicht denkbar, dass der Beschwerdeführer 1 anlässlich der Verhöre nicht über seine Rechte aufgeklärt worden und ihm nicht die Möglichkeit eingeräumt worden sei, einen Anwalt beizuziehen. Im Falle des Vorliegens eines strafrechtlich relevanten Tatbestandes würden die türkischen Behörden rigoros Strafverfahren einleiten, welche entweder zur Anklage oder Einstellung des Verfahrens führen würden. In beiden Fällen wäre zu erwarten, dass der Beschwerdeführer 1 entsprechende Gerichtsdokumente einreichen könnte. Trotz entsprechender Aufforderung habe er aber keine beweistauglichen Dokumente betreffend das Vorgehen der Behörden gegen ihn und seine Ehefrau zu den Akten gereicht. Im Weiteren habe er widersprüchliche Aussagen dazu gemacht, ob ihm aufgrund seiner Tätigkeit für die Zeitung eine Busse auferlegt worden sei. Im Weiteren seien die Ausführungen des Beschwerdeführers 1 zu den Umständen der Festnahme und Misshandlung im Jahre 2002 wenig konkret und differenziert ausgefallen, so dass der Eindruck entstehe, er habe das Geschilderte nicht selbst erlebt. Nach dem Gesagten sei auch der angebliche Übergriff von Sicherheitskräften auf die (...) als unglaubhaft zu erachten. Schliesslich sei zu berücksichtigen, dass sich auch die Vorbringen seiner Ehefrau als unglaubhaft erwiesen hätten. Im Übrigen würden sich den Akten keine Anhaltspunkte dafür entnehmen lassen, dass dem Beschwerdeführer 1 im Heimatstaat mit beachtlicher Wahrscheinlichkeit eine durch Art. 3 der Konvention vom 4. November 1950 zum Schutze der Menschenrechte und Grundfreiheiten (EMRK, SR 0.101) verbotene Strafe oder Behandlung drohen würde, und weder die in ihrem Heimatstaat herrschende politische Situation noch andere Gründe würden gegen die Zumutbarkeit der Rückführung in den Heimatstaat sprechen. Eine Behandlung der mit Arztbericht belegten psychischen Erkrankung des Beschwerdeführers 1 sei in der Türkei grundsätzlich möglich.</w:t>
      </w:r>
    </w:p>
    <w:p>
      <w:r>
        <w:rPr>
          <w:b/>
        </w:rPr>
        <w:t>E. 4.2</w:t>
      </w:r>
    </w:p>
    <w:p>
      <w:r>
        <w:t>Zur Begründung seiner Beschwerde führte der Beschwerdeführer 1 zunächst aus, der gerügte Widerspruch bezüglich der Auferlegung einer Busse beruhe möglicherweise auf einer unkorrekten Übersetzung. Jedenfalls sei von ihm und seiner Ehefrau bei ihren wöchentlichen Vorsprachen bei der Staatsanwaltschaft immer wieder die Bezahlung von Bestechungssummen gefordert worden. Die Darstellung der Vorinstanz betreffend die Rechtssicherheit in der Türkei sei unzutreffend. Theorie und Realität würden nach wie vor auseinanderklaffen, würden doch regimekritische Personen immer noch verfolgt und kurdische Zeitungen verboten. Folter und unmenschliche Behandlung seien immer noch verbreitet. Die diesbezüglichen Erwägungen im Urteil des Bundesverwaltungsgerichts betreffend seine Schwägerin O._______ (vgl. Urteil D-6861/6862/2006 des Bundesverwaltungsgerichts vom 9. Januar 2008), auf welches er ausdrücklich hingewiesen habe, seien nicht gewürdigt worden. Ferner sei zu berücksichtigen, dass die beigezogenen Dolmetscher nicht über genügende Sprachkenntnisse verfügt hätten um eine fehlerfreie Übersetzung zu gewährleisten. Dadurch entstandene Ungenauigkeiten und Fehler dürften ihm nicht zum Nachteil gereichen. Unrechtmässige Übergriffe seitens der Behörden könnten kaum bewiesen werden, da solche naturgemäss nicht dokumentiert oder gar bestätigt würden. Es werde aber auf die Untersuchung der Schweizerischen Flüchtlingshilfe (SFH) zur Situation der Kurden in der Türkei verwiesen, welche sich neben eigenen Wahrnehmungen des Autors auch auf Berichte anerkannter internationaler Organisationen stütze. Die Sicherheitskräfte würden sich nach wie vor bei seiner Schwiegermutter nach dem Verbleib ihrer ins Ausland geflüchteten Familienangehörigen erkundigen. Die Familie seiner Ehefrau stehe, wie das Bundesverwaltungsgericht in seinem Urteil betreffend O._______ festgestellt habe, unter dem Generalverdacht, die kurdische Guerilla zu unterstützen. Seine Erkrankung beruhe auf den Gewalterfahrungen in der Türkei und der Furcht vor weiteren staatlichen Übergriffen, weshalb eine erfolgreiche Be­handlung in seinem Heimatland nicht möglich sei. Er benötige zur Gesundung ein sicheres Umfeld.</w:t>
      </w:r>
    </w:p>
    <w:p>
      <w:r>
        <w:rPr>
          <w:b/>
        </w:rPr>
        <w:t>E. 4.3</w:t>
      </w:r>
    </w:p>
    <w:p>
      <w:r>
        <w:t>Das BFM führte in seiner Vernehmlassung aus, die Anhörung zu den Asylgründen sei wiederholt worden und dabei sei ein Dolmetscher beigezogen worden, welcher über einen ausgezeichneten deutschen Wortschatz verfüge und das volle Vertrauen des BFM geniesse. Der neu eingereichte ärztliche Bericht sei nicht geeignet, zu einer anderen Einschätzung zu führen, da die gemäss diesem notwendige medizinische Behandlung auch in der Türkei möglich sei.</w:t>
      </w:r>
    </w:p>
    <w:p>
      <w:r>
        <w:rPr>
          <w:b/>
        </w:rPr>
        <w:t>E. 4.4</w:t>
      </w:r>
    </w:p>
    <w:p>
      <w:r>
        <w:t>In seiner Replik erklärte der Beschwerdeführer 1, er könne die Qualität des zur zweiten Anhörung beigezogenen Dolmetschers nicht überprüfen. Dies müsse durch das BFM belegt werden. Seine gesundheitlichen Probleme stünden im Zusammenhang mit den Erlebnissen in der Heimat und sie hätten sich nach dem negativen Entscheid der Vorinstanz verschlechtert.</w:t>
      </w:r>
    </w:p>
    <w:p>
      <w:r>
        <w:rPr>
          <w:b/>
        </w:rPr>
        <w:t>E. 5</w:t>
      </w:r>
    </w:p>
    <w:p>
      <w:r>
        <w:t>Bezüglich der vom Beschwerdeführer 1 an der Qualität der Übersetzungen anlässlich der Anhörungen erhobenen Zweifel ist zunächst Folgendes festzustellen: Nachdem die bei der Anhörung vom 1. Februar 2010 anwesend gewesene Hilfswerkvertreterin sowie die Rechtsvertreterin der Beschwerdeführenden gerügt hatten, die Sprachkenntnisse der Dolmetscherin seien mangelhaft gewesen und es sei deshalb zu Missverständnissen gekommen, führte das BFM am 10. Mai 2011 eine zweite Anhörung durch, bei welcher ein anderer Dolmetscher beigezogen wurde. Dem Protokoll dieser zweiten einlässlichen Befragung lassen sich keine Anhaltspunkte dafür entnehmen, dass es dabei zu sprachlichen Verständigungsschwierigkeiten oder Übersetzungs­fehlern gekommen wäre, und auch die anwesende Hilfswerkvertreterin erhob keine derartigen Einwände. Zudem wurden in der Beschwerdeeingabe keine konkreten Mängel der zweiten einlässlichen Anhörung behauptet. Es besteht demnach kein Grund zur Annahme, die Anhörung vom 10. Mai 2011 sei nicht korrekt durchgeführt wurde. Das BFM hat mit der Durchführung einer zweiten Anhörung der gerügten Mangelhaftigkeit der ersten Befragung gebührend Rechnung getragen und es kann demnach davon ausgegangen werden, dass die Vorinstanz den Sachverhalt korrekt erhoben hat.</w:t>
      </w:r>
    </w:p>
    <w:p>
      <w:r>
        <w:rPr>
          <w:b/>
        </w:rPr>
        <w:t>E. 6.1</w:t>
      </w:r>
    </w:p>
    <w:p>
      <w:r>
        <w:t>Bei der Beurteilung, ob die Flüchtlingseigenschaft glaubhaft gemacht ist, geht es um eine Gesamtwürdigung aller Sachverhaltselemente, die für oder gegen die Vorbringen der asylsuchenden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das Glaubhaftmachen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w:t>
      </w:r>
    </w:p>
    <w:p>
      <w:r>
        <w:rPr>
          <w:b/>
        </w:rPr>
        <w:t>E. 6.2</w:t>
      </w:r>
    </w:p>
    <w:p>
      <w:r>
        <w:t>Die journalistische Tätigkeit des Beschwerdeführers 1 ist als erstellt zu erachten, aufgrund der von ihm eingereichten Zeitungen, in welchen er als Herausgeber der Zeitung "(...)" genannt wird. Den eingereichten Übersetzungen mehrerer Artikel ist jedoch nicht zu entnehmen, dass diese offensichtlich regimekritische oder oppositionelle Äusserungen enthalten würden, welche ein erhebliches Verfolgungsinteresse der Behörden zu rechtfertigen vermöchten. Die vom Beschwerdeführer 1 geschilderten massiven Einschüchterungs- und Zensurmassnahmen gegen ihn und seine Ehefrau aufgrund ihrer journalistischen Tätigkeit erscheinen aus diesem Grund unplausibel und nicht nachvollziehbar. Die Zweifel an der Glaubhaftigkeit der Darlegungen des Beschwerdeführers 1 dadurch verstärkt, dass er sich widersprüchlich dazu geäussert hat, ob ihm aufgrund seiner journalistischen Tätigkeit eine Busse auferlegt worden sei oder nicht. Der Verweis auf eine unkorrekte Übersetzung vermag nicht zu überzeugen, da sich den betreffenden Befragungsprotokollen keine entsprechenden Hinweise entnehmen lassen. Im Weiteren hat der Beschwerdeführer 1 trotz ausdrücklicher Aufforderung keine beweiskräftigen Dokumente zum Beleg der angeblichen behördlichen Massnahmen zu den Akten gereicht. Das Argument, bei politisch motivierten Verfahren würden von den Behörden keine Dokumente ausgehändigt, ist nach Kenntnis des Bundesverwaltungsgerichts unzutreffend und stellt demnach keine überzeugende Rechtfertigung für diese Unterlassung dar. In Übereinstimmung mit der Vorinstanz geht das Gericht davon aus, dass, falls tatsächlich Gerichtsverfahren gegen ihn oder seine Ehefrau eingeleitet worden wären, sie in der Lage sein müssten, mithilfe des in der Türkei mandatierten Rechtsanwalts diesbezügliche schriftliche Gerichtsdokumente (z. B. Anklageschriften, polizeiliche Untersuchungsberichte, Befragungsprotokolle, Gerichtsurteile) beizubringen (vgl. etwa Foreign and Commonwealth Office, Korrespondenz vom 12. Mai 2009, zitiert in UK Border Agency, Country of Origin Information Report, Turkey, Ziff. 11.05 S. 60).</w:t>
      </w:r>
    </w:p>
    <w:p>
      <w:r>
        <w:rPr>
          <w:b/>
        </w:rPr>
        <w:t>E. 6.3</w:t>
      </w:r>
    </w:p>
    <w:p>
      <w:r>
        <w:t>Ferner stellen die vom Beschwerdeführer 1 vorgebrachten Festnahmen und Misshandlungen durch die Sicherheitskräfte in den Jahren 2002 und 2005 ungeachtet der Frage der Glaubhaftigkeit keine Verfolgung im Sinne von Art. 3 AsylG dar, da diese behördlichen Massnahmen im Zeitpunkt der Ausreise bereits mehrere Jahre zurücklagen und aus den Ausführungen des Beschwerdeführers zu 1 schliessen ist, dass sie für seine Ausreise nicht kausal waren.</w:t>
      </w:r>
    </w:p>
    <w:p>
      <w:r>
        <w:rPr>
          <w:b/>
        </w:rPr>
        <w:t>E. 6.4</w:t>
      </w:r>
    </w:p>
    <w:p>
      <w:r>
        <w:t>Im heute vom gleichen Spruchgremium gefällten Urteil E 6934/2011 des Bundesverwaltungsgerichts betreffend die Ehefrau des Beschwerdeführers 1 wird festgestellt, jene habe keine begründete Furcht vor Reflexverfolgungsmassnahmen aufgrund ihres familiären Hintergrundes und könne insbesondere aus dem Urteil D-6861/6862/2006 des Bundesverwaltungsgerichts vom 9. Januar 2008 betreffend ihre Schwester O._______ nichts zu ihren Gunsten ableiten (vgl. Urteil E-6934/2011 E. 8). Diese Feststellungen gelten demnach analog für die Beschwerdeführenden des vorliegenden Verfahrens.</w:t>
      </w:r>
    </w:p>
    <w:p>
      <w:r>
        <w:rPr>
          <w:b/>
        </w:rPr>
        <w:t>E. 6.5</w:t>
      </w:r>
    </w:p>
    <w:p>
      <w:r>
        <w:t>Schliesslich können die Beschwerdeführenden, nachdem sie keine individuelle Verfolgungssituation glaubhaft zu machen vermögen, auch nichts aus den Feststellungen zur allgemeinen Situation in der Türkei in den von ihnen zitierten Gerichtsurteilen beziehungsweise Länderberichten zu ihren Gunsten ableiten.</w:t>
      </w:r>
    </w:p>
    <w:p>
      <w:r>
        <w:rPr>
          <w:b/>
        </w:rPr>
        <w:t>E. 6.6</w:t>
      </w:r>
    </w:p>
    <w:p>
      <w:r>
        <w:t>Zusammenfassend gelangt das Bundesverwaltungsgericht zum Schluss, dass es den Beschwerde­füh­renden nicht gelungen ist, eine im Sinne von Art. 3 AsylG asylrelevante Verfolgungsgefahr nachzu­weisen oder glaubhaft darzutun. Die Vorinstanz hat ihre Asylgesuche demzufolge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Mit Urteil E 6934/2011 vom heutigen Tag heisst das Bundesverwaltungsgericht die Beschwerde der Ehefrau des Beschwerdeführers 1 und des gemeinsamen Kindes betreffend Aufhebung der vorläufigen Aufnahme gut und weist das BFM an, die Angehörigen infolge Unzumutbarkeit des Wegweisungsvollzugs in der Schweiz vorläufig aufzunehmen (Art. 44 Abs. 2 AsylG i.V.m. Art. 83 Abs. 4 des Bundesgesetzes vom 16. Dezem­ber 2005 über die Ausländerinnen und Ausländer [AuG, SR 142.20]).</w:t>
      </w:r>
    </w:p>
    <w:p>
      <w:r>
        <w:rPr>
          <w:b/>
        </w:rPr>
        <w:t>E. 8.2</w:t>
      </w:r>
    </w:p>
    <w:p>
      <w:r>
        <w:t>Unter Beachtung des Grundsatzes der Einheit der Familie (Art. 44 Abs. 1 AsylG; Entscheidungen und Mitteilungen der Schweizerischen Asylrekurskommission [EMARK] 1995 Nr. 24) sind die Beschwerdeführenden praxisgemäss in die vorläufige Aufnahme ihrer nächsten Angehörigen einzubeziehen, nachdem aus den Verfahrensakten keine Hinweise auf Ausschlussgründe gemäss Art. 83 Abs. 7 AuG ersichtlich sind. In diesem Zusammenhang ist darauf hinzuweisen, dass die Beziehung zwischen der Beschwerdeführerin 2 und ihrer Stiefmutter P._______ unter den asylrechtlichen Familienbegriff (Art. 51 Abs. 1 AsylG, Art. 44 Abs. 1 AsylG) fällt, zumal sie zusammenleben und aufgrund der Akten von einer familiären Beziehung auszugehen ist (vgl. EMARK 2000 Nr. 22).</w:t>
      </w:r>
    </w:p>
    <w:p>
      <w:r>
        <w:rPr>
          <w:b/>
        </w:rPr>
        <w:t>E. 8.3</w:t>
      </w:r>
    </w:p>
    <w:p>
      <w:r>
        <w:t>Praxisgemäss kann bei diesem Verfahrensgang offen bleiben, ob die individuelle Wegweisung der Beschwerdeführenden durchführbar gewesen wäre.</w:t>
      </w:r>
    </w:p>
    <w:p>
      <w:r>
        <w:rPr>
          <w:b/>
        </w:rPr>
        <w:t>E. 9</w:t>
      </w:r>
    </w:p>
    <w:p>
      <w:r>
        <w:t>Nach dem Gesagten ist die Beschwerde, soweit den Vollzug der Wegweisung betreffend, gutzuheissen, und die Dispositivziffern 4 und 5 der vor­instanzlichen Verfügung vom 23. November 2011 sind aufzuheben. Im Übrigen ist die Beschwerde abzuweisen. Das BFM ist anzuweisen, die Beschwerdeführenden wegen Unzumutbarkeit des Wegweisungsvollzugs vorläufig in der Schweiz aufzunehmen (vgl. Art. 44 Abs. 2 AsylG und Art. 83 Abs. 4 AuG).</w:t>
      </w:r>
    </w:p>
    <w:p>
      <w:r>
        <w:rPr>
          <w:b/>
        </w:rPr>
        <w:t>E. 10</w:t>
      </w:r>
    </w:p>
    <w:p>
      <w:r>
        <w:t>Bei diesem Ausgang des Verfahrens wären die um die Hälfte zu reduzierenden Verfahrenskosten den Beschwerdeführenden aufzuerlegen (Art. 63 Abs. 1 VwVG). Da ihnen mit Zwischenverfügung vom 10. Januar 2012 die unentgeltliche Prozessführung gemäss Art. 65 Abs. 1 VwVG gewährt worden war und keine Anhaltspunkte dafür bestehen, dass sich ihre finanzielle Lage seither massgeblich verändert hat, sind jedoch keine Kosten zu erheben.</w:t>
      </w:r>
    </w:p>
    <w:p>
      <w:r>
        <w:rPr>
          <w:b/>
        </w:rPr>
        <w:t>E. 11</w:t>
      </w:r>
    </w:p>
    <w:p>
      <w:r>
        <w:t>Sodann ist den vertretenen Beschwerdeführenden angesichts ihres teil­weisen Obsiegens in Anwendung von Art. 64 VwVG und Art. 7 Abs. 1 des Reglements vom 21. Februar 2008 über die Kosten und Ent­schä­digungen vor dem Bundesverwaltungsgericht (VGKE, SR 173.320.2) eine praxisge­mäss um die Hälfte reduzierte Entschädigung für die ihnen notwendi­ger­weise erwachsenen Parteikosten zuzu­sprechen. Es wurde keine Kostennote zu den Akten gereicht. Der notwendige Vertretungsaufwand lässt sich aber aufgrund der Aktenlage zuverlässig abschätzen, weshalb auf die Einholung einer solchen verzichtet wird (vgl. Art. 14 Abs. 2 in fine VGKE). Unter Berücksichtigung der massgebenden Bemessungsfaktoren (vgl. Art. 8 ff. VGKE) ist die reduzierte Parteientschädigung demnach von Amtes wegen auf insgesamt Fr. 800.-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