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E-6955/2024 vom 24. Oktober 2024</w:t>
      </w:r>
    </w:p>
    <w:p>
      <w:r>
        <w:t>Bundesverwaltungsgericht, 2024-10-24, DE</w:t>
      </w:r>
    </w:p>
    <w:p>
      <w:r>
        <w:rPr>
          <w:b/>
        </w:rPr>
        <w:t xml:space="preserve">Quelle: </w:t>
      </w:r>
      <w:r>
        <w:t>https://mcp.opencaselaw.ch/entscheid/bvger_E-6955_2024_d20241024</w:t>
      </w:r>
    </w:p>
    <w:p>
      <w:r>
        <w:t>FR: TAF E-6955/2024 du 24 octobre 2024</w:t>
      </w:r>
    </w:p>
    <w:p>
      <w:r>
        <w:t>IT: TAF E-6955/2024 del 24 ottobre 2024</w:t>
      </w:r>
    </w:p>
    <w:p>
      <w:pPr>
        <w:pStyle w:val="Heading2"/>
      </w:pPr>
      <w:r>
        <w:t>Regeste</w:t>
      </w:r>
    </w:p>
    <w:p>
      <w:r>
        <w:t>Asyl und Wegweisung (beschleunigtes Verfahren) | Asyl und Wegweisung (beschleunigtes Verfahren); Verfügung des SEM vom 24. Oktober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t>E-6955/2024 Seite 4</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1.4</w:t>
      </w:r>
    </w:p>
    <w:p>
      <w:r>
        <w:t>Der Beschwerdeführer beschränkt sich auf die Anfechtung der Dispo- sitivziffern 4 und 5 der vorinstanzlichen Verfügung (Anordnung des Weg- weisungsvollzugs). Demnach sind die Ziffern Dispositivziffern 1-3 (Vernei- nung der Flüchtlingseigenschaft, Ablehnung des Asylgesuchs und Weg- weisung) mit Ablauf der Beschwerdefrist in Rechtskraft erwachsen. Gegen- stand des vorliegenden Beschwerdeverfahrens bildet somit einzig die Frage, ob der Wegweisungsvollzug zu Recht angeordnet wurde oder ob an seiner Stelle eine vorläufige Aufnahme anzuordnen ist, weil Wegwei- sungsvollzugshindernisse vorliegen (Art. 44 AsylG i.V m. Art. 83 AIG [SR 142.20]).</w:t>
      </w:r>
    </w:p>
    <w:p>
      <w:r>
        <w:rPr>
          <w:b/>
        </w:rPr>
        <w:t>E. 1.5</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2</w:t>
      </w:r>
    </w:p>
    <w:p>
      <w:r>
        <w:t>Die Kognition des Bundesverwaltungsgerichts richtet sich im Bereich des Ausländerrechts nach Art. 49 VwVG (Art. 112 Abs. 1 AIG [SR 142.20]). Ent- sprechend kann die Verletzung von Bundesrecht einschliesslich Über- schreitung oder Missbrauch des Ermessens, die unrichtige oder unvoll- ständige Feststellung des rechtserheblichen Sachverhalts und die Unan- gemessenheit gerügt werden.</w:t>
      </w:r>
    </w:p>
    <w:p>
      <w:r>
        <w:rPr>
          <w:b/>
        </w:rPr>
        <w:t>E. 3</w:t>
      </w:r>
    </w:p>
    <w:p>
      <w:r>
        <w:t>Es besteht kein Anlass für die Rückweisung der Angelegenheit ans SEM zur Neubeurteilung. Der nicht annähernd begründete Eventualantrag ist abzuweisen.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t>E-6955/2024 Seite 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ihren Aus- sagen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Dazu müsste der Beschwerdeführer gemäss der Praxis des Europäischen Gerichtshofes für Menschenrechte (EGMR) sowie jener des UN-Anti-Folterausschusses eine entsprechende konkrete Gefahr ("real risk") nachweisen oder glaubhaft machen (vgl. Urteil des EGMR Saadi gegen Italien vom 28. Februar 2008, Grosse Kammer 37201/06, §§ 124–127 m.w.H.), was ihm nicht gelingt. Auch die allgemeine Menschenrechtssituation in Guinea lässt den Wegweisungsvollzug zum heutigen Zeitpunkt nicht als unzulässig erscheinen.</w:t>
      </w:r>
    </w:p>
    <w:p>
      <w:r>
        <w:rPr>
          <w:b/>
        </w:rPr>
        <w:t>E. 4.3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4.3.1</w:t>
      </w:r>
    </w:p>
    <w:p>
      <w:r>
        <w:t>Zur allgemeinen Lage stellt das SEM fest, dass trotz der Instabilität in Guinea nicht von einer Situation allgemeiner Gewalt auszugehen sei. Diese Einschätzung wird vom Bundesverwaltungsgericht geteilt (vgl. u.a. Urteil des BVGer E-5329/2020 vom 7. Oktober 2024 E. 8.2.1 m.w.H.).</w:t>
      </w:r>
    </w:p>
    <w:p>
      <w:r>
        <w:t>E-6955/2024 Seite 6 In der Beschwerde wird ohne konkrete Bezugnahme auf den Beschwerde- führer eingewandt, es komme vor allem in Conakry zu Demonstrationen, Streiks und gewalttätigen Ausschreitungen. Auch müsse aufgrund des De- monstrations- und Versammlungsverbots damit gerechnet werden, dass die Polizei solche Aktionen gewaltsam auflöse. Möglich sei auch eine ra- sche Verschlechterung der Sicherheitslage. Unter Angabe eines Links wird sodann auf einen Dokumentarfilm auf ARTE verwiesen, der deutlich zeige, mit welch gesellschaftlicher Ablehnung und Diskriminierung Rückkehrende im Heimatstaat des Beschwerdeführers zu kämpfen hätten. Die Vorinstanz ignoriere die tatsächlichen Härten, welchen die Bevölkerung in Guinea ausgesetzt sei. Dabei sei der Beschwerdeführer besonders verletzlich, zu- mal er seinen Heimatstaat bereits als Minderjähriger verlassen habe. Unabhängig davon, dass die unter dem Link angegebene Quelle nicht mehr verfügbar ist, vermag der Beschwerdeführer mit seinen allgemeinen Ausführungen zur allgemeinen Sicherheitslage, zumal in Conakry, nicht an- satzweise darzutun, dass er von der anerkanntermassen labilen politi- schen Lage beziehungsweise als Rückkehrer so betroffen wäre, dass von einer konkreten Gefährdung im massgeblichen Sinne auszugehen wäre. Daran ändert der Umstand, dass er Guinea angeblich als Minderjähriger verlassen habe nichts, ganz abgesehen davon, dass er selbst angegeben hatte, er sei ungefähr (…) Jahre alt gewesen beim Verlassen des Heimat- staates.</w:t>
      </w:r>
    </w:p>
    <w:p>
      <w:r>
        <w:rPr>
          <w:b/>
        </w:rPr>
        <w:t>E. 4.3.2</w:t>
      </w:r>
    </w:p>
    <w:p>
      <w:r>
        <w:t>In individueller Hinsicht führt das SEM aus, beim Beschwerdeführer handle es sich um einen jungen, gesunden Mann mit Berufserfahrung als (…)fahrer und (…)arbeiter. Zwar mache geltend, er habe zu seiner Stief- mutter und seinen Halbgeschwistern ein schlechtes Verhältnis, doch habe er mit der Hilfe seiner Stiefmutter und deren Sohn eine Kopie seiner Ge- burtsurkunde organisieren können, was für eine gewisse Tragfähigkeit die- ser Beziehung sprechen dürfte. Ferner habe er weitere Verwandte und Be- kannte in seiner Heimat, die ihn bei einer Rückkehr allenfalls unterstützen könnten. Auch diese Einschätzung erweist sich als zutreffend. Der pauschale Ein- wand in der Beschwerdeschrift wonach ihm seine Stiefmutter respektive seine Familie nur bei der Organisation seiner Geburtsurkunde geholfen habe, um ihn loszuwerden, vermag zu keiner anderen Einschätzung zu führen. Dies gilt auch für seine Behauptung, wonach er dort niemanden habe. Schliesslich hatte er bei der Anhörung ausdrücklich erklärt, seine Schwägerin habe ihm vor ihrem Wegzug 500’000 CFA (Franc de la</w:t>
      </w:r>
    </w:p>
    <w:p>
      <w:r>
        <w:t>E-6955/2024 Seite 7 Communauté Financière d’Afrique) überlassen (A27 F48). Aus dieser Geste ist zu schliessen, dass sie sich für ihn verantwortlich gefühlt hat. Er wiederum pflegt noch immer den Kontakt zu ihr (ebd. F68). Ausserdem war er im damaligen Zeitpunkt ([…] 2023) bereits knapp volljährig und somit in einem Alter, in welchem die Ablösung von der Kernfamilie bereits zum Tra- gen kommt. Es kann demnach von ihm erwartet werden, sich im Heimat- staat, das er vor noch nicht langer Zeit verlassen und wo er bis dahin gelebt hat, um eine wirtschaftliche Existenz zu bemühen, zumal er, wie erwähnt, zumindest über ein gewisses soziales Netz verfügt. Es ist im Übrigen auch nicht einsichtig, weshalb er sich nicht ebenfalls in E._______ niederlassen könnte, wo seine Schwägerin lebt, die sich zuletzt um ihn gekümmert habe.</w:t>
      </w:r>
    </w:p>
    <w:p>
      <w:r>
        <w:rPr>
          <w:b/>
        </w:rPr>
        <w:t>E. 4.3.3</w:t>
      </w:r>
    </w:p>
    <w:p>
      <w:r>
        <w:t>Nach dem Gesagten erweist sich der Vollzug der Wegweisung auch als zumutbar.</w:t>
      </w:r>
    </w:p>
    <w:p>
      <w:r>
        <w:rPr>
          <w:b/>
        </w:rPr>
        <w:t>E. 4.4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4.5</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Das Gesuch um Gewährung der unentgeltlichen Prozessfüh- rung im Sinne von Art. 65 Abs. 1 VwVG ist wegen der Aussichtslosigkeit der Rechtsbegehren abzuweisen, wobei sich die entsprechende Begrün- dung bereits aus den vorstehenden Erwägungen ergibt. (Dispositiv nächste Seite)</w:t>
      </w:r>
    </w:p>
    <w:p>
      <w:r>
        <w:t>E-6955/2024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