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E-6955/2018 vom 11. Mai 2021</w:t>
      </w:r>
    </w:p>
    <w:p>
      <w:r>
        <w:t>Bundesverwaltungsgericht, 2021-05-11, FR</w:t>
      </w:r>
    </w:p>
    <w:p>
      <w:r>
        <w:rPr>
          <w:b/>
        </w:rPr>
        <w:t xml:space="preserve">Quelle: </w:t>
      </w:r>
      <w:r>
        <w:t>https://mcp.opencaselaw.ch/entscheid/bvger_E-6955_2018</w:t>
      </w:r>
    </w:p>
    <w:p>
      <w:r>
        <w:t>FR: TAF E-6955/2018 du 11 mai 2021</w:t>
      </w:r>
    </w:p>
    <w:p>
      <w:r>
        <w:t>IT: TAF E-6955/2018 del 11 maggio 2021</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l'ancien droit (cf. dispositions transitoires de la modification du 25 septembre 2015, al. 1 LAsi).</w:t>
      </w:r>
    </w:p>
    <w:p>
      <w:r>
        <w:rPr>
          <w:b/>
        </w:rPr>
        <w:t>E. 1.3</w:t>
      </w:r>
    </w:p>
    <w:p>
      <w:r>
        <w:t>Les recourants ont qualité pour recourir (cf. art. 48 al. 1 PA, applicable par renvoi de l'art. 37 LTAF). Présenté dans la forme (cf. art. 52 al. 1 PA applicable par renvoi de l'art. 6 LAsi) et dans le délai prescrits par la loi (cf. ancien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En l'occurrence, le recourant conteste s'être contredit au sujet du paquet à l'origine de ses ennuis ; dans son recours, il souligne qu'à son audition initiale, il en a évoqué le contenu qu'il a ensuite précisé à son audition suivante. Dans ses observations complémentaires au recours, il relève encore avoir dit, à son audition principale, qu'il n'avait pas vu ce que contenait le paquet mais simplement rapporté ce que G._______ lui avait dit de son contenu. En réalité, à son audition première, l'intéressé a certes évoqué le contenu du paquet, parlant de documents politiques, mais il a aussitôt dit ignorer en quoi consistaient précisément ces documents que G._______ lui aurait pourtant énumérés. Ses déclarations à ce sujet, à sa seconde audition, ne correspondent dès lors pas à celles tenues à son audition initiale.</w:t>
      </w:r>
    </w:p>
    <w:p>
      <w:r>
        <w:rPr>
          <w:b/>
        </w:rPr>
        <w:t>E. 3.1.2</w:t>
      </w:r>
    </w:p>
    <w:p>
      <w:r>
        <w:t>Dans ses observations complémentaires encore, le recourant note qu'à son audition initiale, il lui avait été demandé pourquoi il avait caché le colis chez lui plutôt que de le remettre immédiatement à son destinataire, tandis qu'à son audition principale, l'auditeur avait voulu savoir ce qui l'avait empêché de livrer de suite son paquet. La tournure distincte des questions posées expliquerait ainsi, selon lui, ses réponses différentes sur ce point. Ces différences ne seraient en outre pas déterminantes car ce qui compte c'est qu'à ses deux auditions, il avait bien affirmé n'avoir pas livré son colis dès son retour à E._______. De fait, l'argument ne convainc pas. D'une audition à l'autre, la formulation de la question n'a certes pas été la même mais son objet, en l'occurrence, les raisons l'ayant incité à différer la remise du colis à son destinataire, est demeuré identique. Par ailleurs, l'énonciation des questions était claire, brève et aisément compréhensible, même pour une personne peu instruite. En définitive, il apparaît que le recourant a d'abord avancé qu'il avait renoncé à remettre le colis à son destinataire dès son retour à E._______, parce qu'il était tard et que peu après il devait encore conduire son épouse chez son médecin à deux heures de route de leur domicile. Il est ensuite revenu sur ses déclarations, affirmant qu'il y avait renoncé et préféré convenir d'un rendez-vous le lendemain avec le destinataire du colis parce qu'il avait craint d'être repéré par les agents du commissariat de E._______ J._______ en se rendant chez lui de nuit, à une heure tardive. L'intéressé a ainsi donné des causes d'un même événement (en l'occurrence le report de la livraison convenue) deux versions sensiblement différentes, lesquelles amènent inévitablement à douter de son implication dans ces événements.</w:t>
      </w:r>
    </w:p>
    <w:p>
      <w:r>
        <w:rPr>
          <w:b/>
        </w:rPr>
        <w:t>E. 3.1.3</w:t>
      </w:r>
    </w:p>
    <w:p>
      <w:r>
        <w:t>Le recourant a également livré deux versions différentes de l'intervention des agents de l'Etelaat a son domicile après son départ, affirmant d'abord que ceux-ci étaient entrés chez lui et y avaient trouvé le paquet compromettant et ses documents d'identité (passeports et « shenasnameh ») ainsi que ceux de son épouse, déclarant ensuite, à son audition principale, ne pas savoir si ces agents étaient entrés dans son logis et si lui-même était effectivement recherché par les autorités de son pays. Dans le recours, il impute cette contradiction à l'anxiété qu'il avait ressenti à sa seconde audition et à des maux de ventre à ce moment. L'intéressé a effectivement dit souffrir de maux d'estomac. Ceux-ci n'étaient toutefois pas perturbants au point de l'empêcher de poursuivre l'entretien. L'intéressé ne l'a, en tout cas, laissé entendre à aucun moment. De même, la représentante de l'oeuvre d'entraide présente à l'audition n'a rien signalé de particulier quant à son état. Le Tribunal ne peut donc croire, que, pour ce motif, l'intéressé, même anxieux et indisposé, ne se serait pas rappelé, à cette audition, de l'un des points essentiels, si ce n'est du point crucial de son récit. Le recourant affirme enfin tenir, en fait, de son frère, auquel il aurait demandé de se rendre à son domicile après le passage de l'Etelaat ou qui y serait allé de lui-même, selon les versions, que son logement avait été saccagé et que les agents de l'Etelaat avaient emporté les documents d'identité qui s'y trouvaient. Il n'en aurait rien dit à ses auditions parce qu'il aurait craint de causer des ennuis à sa famille en Iran. Cette volte-face ne convainc pas. En effet, à chaque audition, avant d'être entendu, le recourant a été préalablement assuré qu'en raison du secret de fonction auquel sont tenus les membres des autorités suisses, celles de son pays n'auraient jamais connaissance de ce qu'il dirait et qu'il pouvait ainsi parler sans crainte. Il lui a aussi été indiqué que des déclarations inexactes, incomplètes, contradictoires ou fausses auraient une influence négative sur le sort de sa demande et que, de ce fait, il était seul responsable de ce qu'il dirait ou tairait. Le recourant n'avait dès lors aucun intérêt à taire le passage de son frère à son domicile, s'il avait réellement eu lieu. On ne voit d'ailleurs pas en quoi la relation de cet événement aurait pu porter préjudice à ses parents. De fait, il apparaît surtout au Tribunal que cet argument, avancé au stade du recours seulement, vise à donner une nouvelle version des faits en tentant de concilier les contradictions relevées lors des auditions. En définitive, le recourant n'est pas crédible. Quant à la lettre de confirmation de G._______, elle est sans valeur probante pour les raisons avancées par le SEM.</w:t>
      </w:r>
    </w:p>
    <w:p>
      <w:r>
        <w:rPr>
          <w:b/>
        </w:rPr>
        <w:t>E. 3.1.4</w:t>
      </w:r>
    </w:p>
    <w:p>
      <w:r>
        <w:t>En outre, l'explication des conjoints, selon laquelle ils n'auraient pu produire ni leur passeport ni leur « shenasnameh » parce qu'ils auraient été emportés par les agents de l'Etelaat, vient s'ajouter à deux versions précédentes très différentes. En effet, les époux ont d'abord déclaré n'avoir jamais demandé de passeport, puis le recourant a dit en avoir demandé un mais ne plus savoir où il se trouvait en Iran tandis que son épouse a déclaré n'en avoir pas obtenu, ce qui laisse penser qu'elle aussi en avait demandé un. Les deux ont aussi affirmé avoir laissé en Iran leur « shenasnameh », le recourant chez ses parents, son épouse, chez une de ses soeurs. Ensuite, à leur audition principale, les deux ont dit ignorer où se trouvaient leur shenasnameh. En définitive, le Tribunal retient de propos pareillement confus que les recourants cherchent vraisemblablement à taire la vérité au sujet de leurs documents d'identité.</w:t>
      </w:r>
    </w:p>
    <w:p>
      <w:r>
        <w:rPr>
          <w:b/>
        </w:rPr>
        <w:t>E. 3.2</w:t>
      </w:r>
    </w:p>
    <w:p>
      <w:r>
        <w:t>Enfin, le Tribunal est conscient de la répression, souvent féroce, menée par les autorités contre les Kurdes d'Iran. Cette répression n'est toutefois pas assimilable à une persécution collective, car sont avant tout visés ceux qui n'hésitent pas à afficher leur aspiration à l'indépendance du Kurdistan iranien ou leur opposition au régime des mollahs. Sont sévèrement réprimés ceux surpris à commettre des actions revendicatives ou à caractère autonomiste. Les conjoints, qui ont unanimement déclaré n'avoir jamais été engagés politiquement, ne tombent dans aucune de ces catégories. En outre, ils ne sont en rien concernés par les cas de persécutions individuelles auxquels ils renvoient. Ils ne sauraient donc en tirer des motifs d'asile.</w:t>
      </w:r>
    </w:p>
    <w:p>
      <w:r>
        <w:rPr>
          <w:b/>
        </w:rPr>
        <w:t>E. 3.3</w:t>
      </w:r>
    </w:p>
    <w:p>
      <w:r>
        <w:t>Compte tenu ce qui précède, les recourants n'ont pas rendu vraisemblable, au sens de l'art. 7 LAsi, leur exposition, avant leur départ d'Iran, à des préjudices déterminants en matière d'asile ni avancé des motifs d'asile pertinents au sens de l'art. 3 LAsi.</w:t>
      </w:r>
    </w:p>
    <w:p>
      <w:r>
        <w:rPr>
          <w:b/>
        </w:rPr>
        <w:t>E. 3.4.1</w:t>
      </w:r>
    </w:p>
    <w:p>
      <w:r>
        <w:t>En Suisse, A._______ a adhéré au K._______, un parti d'opposition, interdit en Iran. Il s'agit là d'un point qui doit être examiné sous l'angle de l'art. 54 LAsi. Selon cette disposition, l'asile n'est pas accordé à la personne qui n'est devenue un réfugié au sens de l'art. 3 LAsi qu'en quittant son Etat d'origine ou de provenance ou en raison de son comportement ultérieur.</w:t>
      </w:r>
    </w:p>
    <w:p>
      <w:r>
        <w:rPr>
          <w:b/>
        </w:rPr>
        <w:t>E. 3.4.2</w:t>
      </w:r>
    </w:p>
    <w:p>
      <w:r>
        <w:t>Selon la jurisprudence constante du Tribunal,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3.4.3</w:t>
      </w:r>
    </w:p>
    <w:p>
      <w:r>
        <w:t>En Iran, les recourants n'étaient ni des opposants actifs au régime de Téhéran ni même engagés politiquement. Ce n'est qu'une fois en Suisse que A._______ a adhéré au K._______. A cet égard, l'attestation jointe à son recours certifie certes qu'il en est bien devenu membre et que, de ce fait, il risque d'être persécuté par les autorités de son pays, en cas de retour. Pour autant, elle ne fait nullement état de tâches concrètes dévolues au recourant au parti, ni de responsabilités particulières que ce dernier aurait été appelé à y exercer. Il n'apparait donc pas comme un responsable du K._______ en Suisse, ni comme un opposant de premier plan. De fait, si l'on se fie aux photographies également jointes à son recours, son engagement semble n'avoir jamais dépassé le stade de sa participation aux réunions du parti. Il n'est en outre pas démontré ni même allégué qu'il y aurait tenu un rôle déterminant ni qu'il s'y serait fait remarquer en s'en prenant ouvertement aux autorités de son pays. Le fait que certaines images le montrent aux côtés d'éventuels responsables du parti à ces réunions ne permet pas de conclure qu'il leur serait étroitement lié ou qu'il aurait une position importante au sein du K._______. Il ne ressort pas non plus des pièces du dossier qu'il aurait nommément été identifié comme membre du K._______. dans la presse, ni sur les réseaux sociaux.</w:t>
      </w:r>
    </w:p>
    <w:p>
      <w:r>
        <w:rPr>
          <w:b/>
        </w:rPr>
        <w:t>E. 3.4.4</w:t>
      </w:r>
    </w:p>
    <w:p>
      <w:r>
        <w:t>Dans ces conditions, il n'y a pas de raison de considérer que les activités déployées par le recourant en Suisse sont arrivées à la connaissance des autorités iraniennes ni qu'elles aient été perçues par celles-ci comme étant de nature à le mettre en danger.</w:t>
      </w:r>
    </w:p>
    <w:p>
      <w:r>
        <w:rPr>
          <w:b/>
        </w:rPr>
        <w:t>E. 3.5</w:t>
      </w:r>
    </w:p>
    <w:p>
      <w:r>
        <w:t>Le recourant n'a ainsi pas démontré, du fait de son départ d'Iran, revêtir un profil de nature à l'exposer à des persécutions dans son pays. La qualité de réfugié pour des motifs subjectifs postérieurs à la fuite ne peut donc lui être reconnue.</w:t>
      </w:r>
    </w:p>
    <w:p>
      <w:r>
        <w:rPr>
          <w:b/>
        </w:rPr>
        <w:t>E. 4</w:t>
      </w:r>
    </w:p>
    <w:p>
      <w:r>
        <w:t>Partant, la décision du SEM du 6 novembre 2018, en tant qu'elle refuse de reconnaître la qualité de réfugié aux recourants et de leur octroyer l'asile, doit être confirmée et le recours rejeté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Comme exposé ci-dessus, les recourants n'ont pas établi qu'en cas de retour dans son pays d'origine, il serait exposé à de sérieux préjudices au sens de l'art. 3 LAsi.</w:t>
      </w:r>
    </w:p>
    <w:p>
      <w:r>
        <w:rPr>
          <w:b/>
        </w:rPr>
        <w:t>E. 7.3</w:t>
      </w:r>
    </w:p>
    <w:p>
      <w:r>
        <w:t>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En l'occurrence, A._______ a dit tirer des revenus, dans son pays, de son activité (frauduleuse) de contrebandier, couplée avec celle de muletier. Or en Iran, les autorités pourchassent les contrebandiers, n'hésitant pas à les éliminer lors d'opérations de police. Rien qu'en mars 2020, et dès avant la fin du mois, vingt-et-un contrebandiers avaient déjà été abattus, selon l'ONG « Hengaw » citée par l'intéressé. Dans une lettre du 29 septembre suivant, la recourante faisait aussi part au Tribunal du décès d'un de ses cousins, abattu « extrajudiciairement » par les gardes-frontière iraniens. Les conjoints redoutent dès lors de se retrouver dans le collimateur des autorités en cas de renvoi dans leur pays. De fait, à aucun moment, au cours de la procédure, le recourant n'a laissé entendre qu'à son départ d'Iran, il était recherché pour contrebande ni qu'il avait été identifié en tant que contrebandier par les autorités locales. Il n'a, par ailleurs, fourni aucun moyen qui pourrait le laisser penser. Le Tribunal n'a, par conséquent, pas de raison de croire qu'il pourrait courir un danger, à son retour en Iran, à cause de cette activité passée.</w:t>
      </w:r>
    </w:p>
    <w:p>
      <w:r>
        <w:rPr>
          <w:b/>
        </w:rPr>
        <w:t>E. 7.4</w:t>
      </w:r>
    </w:p>
    <w:p>
      <w:r>
        <w:t>Dès lors, l'exécution de leur renvoi sous forme de refoulement ne transgresse aucun engagement de la Suisse relevant du droit international, de sorte qu'elle s'avère licite (art. 44 LAsi et art. 83 al. 3 LEtr).</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8.3.1</w:t>
      </w:r>
    </w:p>
    <w:p>
      <w:r>
        <w:t>En outre, Il ne ressort du dossier des intéressés aucun élément dont on pourrait inférer une mise en danger concrète en cas de renvoi dans le pays. A ce sujet, le Tribunal ne peut que renvoyer à la décision du SEM s'agissant des compétences du recourant, de son aptitude à travailler pour subvenir aux besoins de sa famille, des soutiens, aussi, que les conjoints peuvent escompter à leur retour chez eux. Ceux-ci n'ont en outre pas documenté de problèmes médicaux de nature à faire obstacle à l'exécution de leur renvoi. Enfin, leur relativement longue présence en Suisse ne saurait rendre inexigible l'exécution de leur renvoi.</w:t>
      </w:r>
    </w:p>
    <w:p>
      <w:r>
        <w:rPr>
          <w:b/>
        </w:rPr>
        <w:t>E. 8.3.2</w:t>
      </w:r>
    </w:p>
    <w:p>
      <w:r>
        <w:t>Enfin, l'art. 3 par. 1 de la Convention du 20 novembre 1989 relative aux droits de l'enfant (CDE, RS 0.107) oblige le Tribunal à prendre en compte, dans son appréciation de la situation des intéressés, l'intérêt supérieur de leur fillette. S'agissant de l'exigibilité de l'exécution du renvoi au sens de l'art. 83 al. 4 LEI, il convient, non pas d'apprécier si la poursuite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Jurisprudence et informations de l'ancienne Commission suisse de recours en matière d'asile [JICRA] 2006 n° 13 consid. 3.5 p. 142-143). En l'occurrence, même si elle est née en Suisse, la fille, âgée de moins de (...) ans, des recourants est encore fortement liée à ses parents, qui l'imprègnent de leur mode de vie et de leur culture, de sorte qu'elle pourra, après d'éventuelles difficultés initiales d'adaptation, s'intégrer dans son pays d'origine. Aussi, le Tribunal estime que l'exécution du renvoi des intéressés respecte les impératifs découlant du bien de l'enfant, pour lequel il importe essentiellement de rester avec ses deux parents, lesquels évolueront dans un pays et un environnement socio-culturel qui est le leur, et devraient pouvoir, en dépit des premières difficultés de réinstallation, assurer leur rôle auprès de leur fille.</w:t>
      </w:r>
    </w:p>
    <w:p>
      <w:r>
        <w:rPr>
          <w:b/>
        </w:rPr>
        <w:t>E. 8.4</w:t>
      </w:r>
    </w:p>
    <w:p>
      <w:r>
        <w:t>Dans ces conditions, l'exécution du renvoi doit être considérée comme raisonnablement exigible.</w:t>
      </w:r>
    </w:p>
    <w:p>
      <w:r>
        <w:rPr>
          <w:b/>
        </w:rPr>
        <w:t>E. 9.1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9.2</w:t>
      </w:r>
    </w:p>
    <w:p>
      <w:r>
        <w:t>La situation actuelle, liée à la propagation de la pandémie du coronavirus (COVID-19) en Suisse, en Iran et dans le monde,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10</w:t>
      </w:r>
    </w:p>
    <w:p>
      <w:r>
        <w:t>Au vu de ce qui précède, l'exécution du renvoi est conforme aux dispositions légales (cf. art. 83 al. 2 à 4 LEI). Par conséquent, le recours, en tant qu'il porte sur le renvoi et son exécution, doit également être rejeté.</w:t>
      </w:r>
    </w:p>
    <w:p>
      <w:r>
        <w:rPr>
          <w:b/>
        </w:rPr>
        <w:t>E. 11.1</w:t>
      </w:r>
    </w:p>
    <w:p>
      <w:r>
        <w:t>L'assistance judiciaire totale ayant été octroyée par ordonnance du 31 janvier 2019, il n'est pas perçu de frais de procédure (cf. art. 65 al. 1 PA et ancien art. 110a LAsi).</w:t>
      </w:r>
    </w:p>
    <w:p>
      <w:r>
        <w:rPr>
          <w:b/>
        </w:rPr>
        <w:t>E. 11.2</w:t>
      </w:r>
    </w:p>
    <w:p>
      <w:r>
        <w:t>En cas de représentation d'office en matière d'asile, le tarif horaire est dans la règle de 200 à 220 francs (TVA non comprise) pour les avocats (cf. art. 12 FITAF en lien avec l'art. 10 al. 2 FITAF). Seuls les frais nécessaires sont indemnisés (cf. art. 8 al. 2 FITAF). Le Tribunal fixe les frais de représentation sur la base du décompte de prestations qu'il appartient aux parties ayant droit aux dépens de lui faire parvenir avant le prononcé (cf. art. 14 FITAF).</w:t>
      </w:r>
    </w:p>
    <w:p>
      <w:r>
        <w:rPr>
          <w:b/>
        </w:rPr>
        <w:t>E. 11.3</w:t>
      </w:r>
    </w:p>
    <w:p>
      <w:r>
        <w:t>En l'espèce, eu égard à la note de frais du 11 février 2021 (cf. art. 14 al. 1 FITAF) dont on peut déplorer qu'elle ne fasse pas précisément état du temps consacré à chaque opération, le Tribunal estime à huit heures le temps nécessaire à l'accomplissement du travail fourni. L'indemnité due au mandataire d'office, pour les frais indispensables liés à la défense des intérêts des recourants, est arrêtée à 1'976 francs (y compris le supplément TVA selon l'art. 9 al. 1 let. c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