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E-6944/2017 vom 17. Januar 2018</w:t>
      </w:r>
    </w:p>
    <w:p>
      <w:r>
        <w:t>Bundesverwaltungsgericht, 2018-01-17, DE</w:t>
      </w:r>
    </w:p>
    <w:p>
      <w:r>
        <w:rPr>
          <w:b/>
        </w:rPr>
        <w:t xml:space="preserve">Quelle: </w:t>
      </w:r>
      <w:r>
        <w:t>https://mcp.opencaselaw.ch/entscheid/bvger_E-6944_2017</w:t>
      </w:r>
    </w:p>
    <w:p>
      <w:r>
        <w:t>FR: TAF E-6944/2017 du 17 janvier 2018</w:t>
      </w:r>
    </w:p>
    <w:p>
      <w:r>
        <w:t>IT: TAF E-6944/2017 del 17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erwog die Vorin-stanz, soweit der Beschwerdeführer geltend mache, von den Angehörigen der tödlich verunglückten Arbeitskollegen für den Unfall verantwortlich gemacht, bedroht und angezeigt worden zu sein, sei es ihm damit nicht gelungen, eine Verfolgung im Sinne von Art. 3 AsylG glaubhaft zu machen. Der Beschwerdeführer habe seine Fluchtgründe im Verlauf des Verfahrens inkonsistent und abweichend dargestellt. So habe er in der BzP lediglich angegeben, seine Heimat aufgrund mangelnder Zukunftsperspektiven und wegen der prekären Sicherheitslage verlassen zu haben, und auch auf mehrmalige konkrete Nachfrage hin habe er weder persönliche Probleme mit den Behörden, noch Probleme mit Drittpersonen erwähnt. Es sei nicht nachvollziehbar, weshalb er das fluchtauslösende Ereignis bei der Erstbefragung hätte verschweigen sollen. Sein Erklärungsversuch in der Anhörung, wonach er in der BzP noch kein genügendes Vertrauen habe fassen können, um darüber zu sprechen, überzeuge jedenfalls nicht. Insgesamt entstehe der Eindruck, dass er die beschriebenen Probleme nachgeschoben habe, um damit sein eigenes Gefährdungsprofil zu schärfen, weshalb nicht davon ausgegangen werden könne, dass er sich zum Zeitpunkt der Ausreise in besagter Situation befunden habe. Soweit der Beschwerdeführer sodann die allgemeine Sicherheits- und Wirtschaftslage im Nordirak für seine Ausreise geltend mache, könne daraus keine begründete Furcht vor einer asylrelevanten Verfolgung im Sinne von Art. 3 AsylG abgeleitet werden, weil davon die gesamte lokale Bevölkerung betroffen sei. Betreffend den Vollzug der Wegweisung gelangte die Vorinstanz zum Schluss, dass dieser vorliegend zumutbar sei, nachdem der Beschwerdeführer aus einer der vier von der kurdischen Regionalregierung kontrollierten nordirakischen Provinzen stamme, wo keine Situation allgemeiner Gewalt herrsche und auch keine individuellen Gründe gegen die Zumutbarkeit der Wegweisung sprechen würden. Ausserdem, so die Vorinstanz, sei der Vollzug technisch möglich und praktisch durchführbar.</w:t>
      </w:r>
    </w:p>
    <w:p>
      <w:r>
        <w:rPr>
          <w:b/>
        </w:rPr>
        <w:t>E. 5.2</w:t>
      </w:r>
    </w:p>
    <w:p>
      <w:r>
        <w:t>Den vorinstanzlichen Erwägungen hielt der Beschwerdeführer im Wesentlichen entgegen, es sei ihm in der BzP gesagt worden, er solle sich kurz halten, weil er die Möglichkeit haben werde, sich im Rahmen einer zweiten Befragung ausführlich zur Sache zu äussern. Deshalb habe er lediglich auf die ihm gestellten Fragen geantwortet. Er habe nicht gewusst, wann der richtige Moment sei, um detaillierte Ausführungen zu seinen Asylgründen zu machen. Vermutlich habe er auch die Fragen nicht richtig verstanden. Die Verständigung mit dem Dolmetscher sei nämlich nicht einfach gewesen. Während der Befragung sei er zudem oft unterbrochen worden. Des Weiteren habe er nicht gleich zu Beginn das nötige Vertrauen fassen können, um über all seine Beweggründe zu sprechen, was im Übrigen auch psychisch sehr belastend für ihn sei. Er habe bei der BzP indirekt schon angedeutet, dass die irakischen Behörden beziehungsweise die Peschmerga für seine Flucht aus dem Irak verantwortlich gewesen seien, als er nämlich ausgeführt habe, dass im Irak eine Ungerechtigkeit herrsche. Im Weiteren führte der Beschwerdeführer aus, er und sein Team seien nach dem Minenunfall verdächtigt worden, den Unfall absichtlich verursacht zu haben, um damit den IS oder eine andere Gruppierung zu unterstützen. Er sei also nicht nur von den Angehörigen der Verstorbenen, sondern auch von der irakischen Regierung verfolgt worden. Er müsse damit rechnen, im Irak verurteilt und unschuldig zu einer Haftstrafe verurteilt zu werden, weshalb ihm nicht zugemutet werden könne, nach Dohuk zurückzukehren. Dies nicht zuletzt auch wegen der instabilen Sicherheitslage in Dohuk.</w:t>
      </w:r>
    </w:p>
    <w:p>
      <w:r>
        <w:rPr>
          <w:b/>
        </w:rPr>
        <w:t>E. 6</w:t>
      </w:r>
    </w:p>
    <w:p>
      <w:r>
        <w:t>Eine Prüfung der Akten ergibt, dass die vorinstanzliche Verfügung, soweit die Flüchtlingseigenschaft verneint und das Asylgesuch des Beschwerdeführers abgelehnt wird, aus den nachfolgenden Gründen zu bestätigen ist.</w:t>
      </w:r>
    </w:p>
    <w:p>
      <w:r>
        <w:rPr>
          <w:b/>
        </w:rPr>
        <w:t>E. 6.1</w:t>
      </w:r>
    </w:p>
    <w:p>
      <w:r>
        <w:t>So ist zunächst festzustellen, dass sich die vom Beschwerdeführer vorgebrachten Fluchtumstände in wesentlichen Aspekten nicht als glaubhaft im Sinne von Art. 7 AsylG erweisen.</w:t>
      </w:r>
    </w:p>
    <w:p>
      <w:r>
        <w:rPr>
          <w:b/>
        </w:rPr>
        <w:t>E. 6.1.1</w:t>
      </w:r>
    </w:p>
    <w:p>
      <w:r>
        <w:t>Wie die Vorinstanz bereits zutreffend festgestellt hat, brachte der Beschwerdeführer die Behelligungen im Zusammenhang mit dem angeblichen Minenunfall erst im Rahmen der Anhörung vor, während er in der BzP erklärte, den Irak aufgrund mangelnder Zukunftsperspektiven und wegen der prekären Sicherheitslage verlassen zu haben (A3/11, S.7). Er bestätigte in der BzP sogar ausdrücklich, weder persönliche Probleme mit Dritten noch mit den irakischen Behörden gehabt zu haben (A3/11, S. 8). Zur Frage, weshalb er die geltend gemachten Fluchtgründe im Zusammenhang mit dem angeblichen Unfall nicht schon im Rahmen der BzP vorgebracht habe, erklärte der Beschwerdeführer, er habe Angst gehabt, darüber zu sprechen, und er habe Zeit gebraucht, um Vertrauen zu fassen (A17/21, F33, F58, F100). In Widerspruch dazu führte er in der Beschwerdeeingabe aus, es sei ihm in der BzP gesagt worden, er solle sich kurz fassen, weil er später Gelegenheit erhalten werde, sich ausführlich zu äussern. Zudem hätten Verständigungsprobleme mit dem Übersetzer bestanden (Beschwerde, S. 4). Nur am Rande erwähnte er, dass er befürchtet habe, seine Aussagen würden nicht vertraulich behandelt werden (Beschwerde, S. 5). Damit hat die Vorinstanz die vorgebrachten Behelligungen zu Recht als nachgeschoben qualifiziert. Nachdem auch die Erklärungsversuche des Beschwerdeführers dazu widersprüchlich ausgefallen sind, entstehen vorliegend erhebliche Zweifel daran, dass sich der Sachverhalt tatsächlich so wie von ihm beschrieben ereignet hat. An dieser Einschätzung vermögen die weiteren Einwände auf Beschwerdeebene nichts zu ändern, zumal diese als reine Schutzbehauptungen zu werten sind und der Beschwerdeführer die Befragungsprotokolle, welche ihm rückübersetzt wurden, als vollständig und seinen Angaben entsprechend bestätigte, er auf Nachfrage hin sogar ausdrücklich erklärte, die Verständigung zwischen ihm und dem Dolmetscher funktioniere gut (A17/21, F62).</w:t>
      </w:r>
    </w:p>
    <w:p>
      <w:r>
        <w:rPr>
          <w:b/>
        </w:rPr>
        <w:t>E. 6.1.2</w:t>
      </w:r>
    </w:p>
    <w:p>
      <w:r>
        <w:t>Die bestehenden Zweifel erhärten sich weiter dadurch, als die Aussagen des Beschwerdeführers zu den als nachgeschoben zu qualifizierenden Fluchtumständen widersprüchlich ausgefallen sind. So erklärte er in der BzP, ab Dezember 2014 vier bis fünf Monate bei den Peschmerga in der Minenräumung tätig gewesen zu sein (A3/11, S. 7), während er in der Anhörung ausführte, der angebliche Unfall habe sich ungefähr im Juli 2015 - und damit zu einer Zeit, in welcher er gar nicht mehr bei den Peschmerga tätig gewesen wäre - ereignet.</w:t>
      </w:r>
    </w:p>
    <w:p>
      <w:r>
        <w:rPr>
          <w:b/>
        </w:rPr>
        <w:t>E. 6.1.3</w:t>
      </w:r>
    </w:p>
    <w:p>
      <w:r>
        <w:t>Weiter war der Beschwerdeführer nicht in der Lage, sich substantiiert zu den geltend gemachten Behelligungen seitens der Familienangehörigen der angeblich verstorbenen Arbeitskollegen zu äussern. So erklärte er in lediglich allgemeiner und pauschaler Weise, er sei belästigt, schikaniert und bedroht worden (A17/21, F40, F65, F75), die Angehörigen hätten ihm und den weiteren Beschuldigten Schwierigkeiten bereitet (A17/21, F56) und ihnen das Leben schwer gemacht (A17/21, F60). Auch war er nicht in der Lage, den ersten Besuch der Familie eines Verstorbenen bei ihm zu Hause auch nur annähernd detailliert zu beschreiben (A17/21, F70).</w:t>
      </w:r>
    </w:p>
    <w:p>
      <w:r>
        <w:rPr>
          <w:b/>
        </w:rPr>
        <w:t>E. 6.1.4</w:t>
      </w:r>
    </w:p>
    <w:p>
      <w:r>
        <w:t>Der Beschwerdeführer konnte im Rahmen der Anhörung auch nicht plausibel erklären, weshalb er für den Tod seiner Arbeitskollegen mitverantwortlich gemacht werden sollte (A17/21, F59-61, F66-68). Erst im Beschwerdeverfahren führte er dazu aus, er und weitere Kollegen von ihm seien verdächtigt worden, den Unfall absichtlich zugunsten der IS oder einer anderen Gruppierung verursacht zu haben.</w:t>
      </w:r>
    </w:p>
    <w:p>
      <w:r>
        <w:rPr>
          <w:b/>
        </w:rPr>
        <w:t>E. 6.1.5</w:t>
      </w:r>
    </w:p>
    <w:p>
      <w:r>
        <w:t>Schliesslich konnte der Beschwerdeführer keine Beweismittel beibringen, welche seine Angaben zu den geltend gemachten Fluchtgründen stützen. Es wäre aber - nicht zuletzt deshalb, weil sein Bruder eigenen Aussagen zufolge Polizist ist und der Beschwerdeführer deshalb über entsprechende Beziehungen verfügen dürfte (A17/21, F53) - zu erwarten gewesen, dass er Belege über die angeblich erstattete Anzeige gegen ihn sowie allenfalls über die Verurteilung eines seiner Arbeitskollegen einreicht, um seine Vorbringen zu untermauern.</w:t>
      </w:r>
    </w:p>
    <w:p>
      <w:r>
        <w:rPr>
          <w:b/>
        </w:rPr>
        <w:t>E. 6.2</w:t>
      </w:r>
    </w:p>
    <w:p>
      <w:r>
        <w:t>In einer Gesamtwürdigung ist die von der Vorinstanz vorgenommene Beurteilung, wonach es dem Beschwerdeführer nicht gelungen sei, seine Fluchtgründe glaubhaft darzulegen, zu bestätigen. Auf eine Prüfung, ob die geltend gemachten Vorbringen asylrelevant sind, kann deshalb verzichtet werden.</w:t>
      </w:r>
    </w:p>
    <w:p>
      <w:r>
        <w:rPr>
          <w:b/>
        </w:rPr>
        <w:t>E. 6.3</w:t>
      </w:r>
    </w:p>
    <w:p>
      <w:r>
        <w:t>Soweit der Beschwerdeführer vorbringt, aufgrund der allgemeinen Sicherheits- und Wirtschaftslage im Nordirak ausgereist zu sein, ist diesbezüglich festzuhalten, dass entsprechende Nachteile keine gegen den Beschwerdeführer gerichtete Verfolgungsmassnahmen aus einem in Art. 3 AsylG genannten Motiv darstellen. Vielmehr handelt es sich dabei um Nachteile, welche auf die allgemein schwierige Lage im Heimatland zurückzuführen sind und von welchen die gesamte Bevölkerung betroffen ist. Sie sind nicht geeignet, eine Asylrelevanz zu begründen.</w:t>
      </w:r>
    </w:p>
    <w:p>
      <w:r>
        <w:rPr>
          <w:b/>
        </w:rPr>
        <w:t>E. 6.4</w:t>
      </w:r>
    </w:p>
    <w:p>
      <w:r>
        <w:t>Bei dieser Sachlage ist festzustellen, dass der Beschwerdeführer die Voraussetzungen zur Zuerkennung der Flüchtlingseigenschaft nicht erfüllt. Die Vorinstanz hat daher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w:t>
      </w:r>
    </w:p>
    <w:p>
      <w:r>
        <w:rPr>
          <w:b/>
        </w:rPr>
        <w:t>E. 8.2.3</w:t>
      </w:r>
    </w:p>
    <w:p>
      <w:r>
        <w:t>Sodann ergeben sich weder aus den Aussagen des Beschwerdeführers noch aus den Akten Anhaltspunkte dafür, dass er für den Fall einer Rückkehr in die KRG-Region dort mit beachtlicher Wahrscheinlichkeit einer nach Art. 3 EMRK oder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Eine ihm allfällig drohende konkrete Gefahr konnte der Beschwerdeführer nicht glaubhaft machen. Aus den Akten ergeben sich ebenfalls keine entsprechenden Anhaltspunkte. Auch die allgemeine Menschenrechtssituation in der KRG-Region lässt den Wegweisungsvollzug zum heutigen Zeitpunkt nicht als unzulässig erscheinen (vgl. Urteil E-3737/2015 vom 14. Dezember 2015 E. 6.3 [als Referenzurteil publiziert]).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8.3.3</w:t>
      </w:r>
    </w:p>
    <w:p>
      <w:r>
        <w:t>Diese Praxis wurde in den folgenden Jahren durch das Bundesverwaltungsgericht bekräftigt. Im Urteil E-3737/2015 vom 14. Dezember 2015 (als Referenzurteil publiziert) wurden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 E-3737/2015 vom 14. Dezember 2015 E. 7.4.5, vgl. auch die Urteile D-7841/2016 vom 6. September 2017 E. 7.5, D-3994/2016 vom 22. August 2017 E. 6.3.3 und D-233/2017 vom 9. März 2017 E. 10.6).</w:t>
      </w:r>
    </w:p>
    <w:p>
      <w:r>
        <w:rPr>
          <w:b/>
        </w:rPr>
        <w:t>E. 8.3.4</w:t>
      </w:r>
    </w:p>
    <w:p>
      <w:r>
        <w:t>Der Beschwerdeführer stammt aus C._______, einem Dorf in der Provinz Dohuk, wo er bis zu seiner Ausreise lebte. Seine Eltern sowie mehrere Geschwister von ihm - insgesamt hat der Beschwerdeführer 13 Geschwister - leben in C._______. Weitere Geschwister leben in der Provinz Dohuk. Der Beschwerdeführer verfügt damit über ein grosses familiäres Beziehungsnetz in seiner Heimat. Seine Eltern bewohnen zudem ein eigenes Haus in C._______ und verfügen über ein Haus und Ländereien in E._______. Die Familie lebt einerseits von der Landwirtschaft, andererseits von den Einkünften der berufstätigen Geschwister, welche noch bei den Eltern wohnhaft sind. Es ist davon auszugehen, dass der Beschwerdeführer nach seiner Rückkehr in den Irak wieder bei seinen Eltern wohnen kann und ihm seine Familie bei Bedarf unterstützend zur Seite stehen wird. Es handelt sich bei ihm sodann um einen jungen und gesunden Mann ohne familiäre Verpflichtungen. Er verfügt über eine mindestens siebenjährige Schulbildung und Arbeitserfahrungen, sei es als Mitarbeiter in einer Bäckerei oder als ausgebildeter Minenräumer. Mit der Vorinstanz ist deshalb davon auszugehen, dass er sich auch künftig seinen Lebensunterhalt selbständig sichern kann. Es gibt bei dieser Aktenlage keinen Grund zur Annahme, der Beschwerdeführer würde bei seiner Rückkehr in eine existenzbedrohende Situation geraten. Der Vollzug der Wegweisung erweist sich somit als zumutbar.</w:t>
      </w:r>
    </w:p>
    <w:p>
      <w:r>
        <w:rPr>
          <w:b/>
        </w:rPr>
        <w:t>E. 8.3.5</w:t>
      </w:r>
    </w:p>
    <w:p>
      <w:r>
        <w:t>Der Vollzug ist schliesslich nicht möglich, wenn die Ausländerin oder der Ausländer weder in den Heimat- oder in den Herkunftsstaat noch in einen Drittstaat ausreisen oder dorthin gebracht werden kann (Art. 83 Abs. 2 AuG).</w:t>
      </w:r>
    </w:p>
    <w:p>
      <w:r>
        <w:rPr>
          <w:b/>
        </w:rPr>
        <w:t>E. 8.3.6</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in gleicher Höhe erhobene Kostenvorschuss ist für die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