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E-6941/2016 vom 2. Oktober 2018</w:t>
      </w:r>
    </w:p>
    <w:p>
      <w:r>
        <w:t>Bundesverwaltungsgericht, 2018-10-02, FR</w:t>
      </w:r>
    </w:p>
    <w:p>
      <w:r>
        <w:rPr>
          <w:b/>
        </w:rPr>
        <w:t xml:space="preserve">Quelle: </w:t>
      </w:r>
      <w:r>
        <w:t>https://mcp.opencaselaw.ch/entscheid/bvger_E-6941_2016</w:t>
      </w:r>
    </w:p>
    <w:p>
      <w:r>
        <w:t>FR: TAF E-6941/2016 du 2 octobre 2018</w:t>
      </w:r>
    </w:p>
    <w:p>
      <w:r>
        <w:t>IT: TAF E-6941/2016 del 2 ottobre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et la pertinence de ses motifs.</w:t>
      </w:r>
    </w:p>
    <w:p>
      <w:r>
        <w:rPr>
          <w:b/>
        </w:rPr>
        <w:t>E. 3.2</w:t>
      </w:r>
    </w:p>
    <w:p>
      <w:r>
        <w:t>En effet, il ressort des déclarations du recourant qu'il se serait trouvé en butte aux menaces des Shebabs, pour n'avoir pas voulu transporter plusieurs d'entre eux, ainsi que leurs armes. Sans se prononcer sur la crédibilité de cet épisode, le Tribunal constate que ces menaces n'étaient motivées par aucun des motifs énumérés à l'art. 3 LAsi ; en particulier, l'attitude du recourant en l'occasion de cet incident ne permettait aucunement de le faire apparaître comme un opposant politique aux Shebabs. Il est en outre hautement improbable que ces derniers se soucient encore aujourd'hui d'exercer des représailles contre le recourant, âgé de (...) ans à l'époque, et parti de Somalie depuis plusieurs années, à supposer qu'ils puissent le localiser.</w:t>
      </w:r>
    </w:p>
    <w:p>
      <w:r>
        <w:rPr>
          <w:b/>
        </w:rPr>
        <w:t>E. 3.3</w:t>
      </w:r>
    </w:p>
    <w:p>
      <w:r>
        <w:t>Dans ce contexte, la question du caractère effectif - ou non - de la protection que les autorités somaliennes ou les troupes de la Mission de l'Union africaine en Somalie (AMISOM) auraient pu accorder au recourant n'a plus de portée particulière. Le Tribunal retient en outre que les Shebabs ont en effet été chassés de Mogadiscio dès 2011, puis de la plus grande partie du sud de la Somalie, bien que des attentats s'y produisent encore (cf. Organisation suisse d'aide aux réfugiés [OSAR], Schnellrecherche des SFH-Ländernalyse vom 21.Februar 2018 zu Somalia). Ils ne sont donc plus en mesure, dans la capitale en tout cas, d'infliger des persécutions.</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donc pas à être tranchée.</w:t>
      </w:r>
    </w:p>
    <w:p>
      <w:r>
        <w:rPr>
          <w:b/>
        </w:rPr>
        <w:t>E. 4.3</w:t>
      </w:r>
    </w:p>
    <w:p>
      <w:r>
        <w:t>Le Tribunal retient encore que si l'admission provisoire a certes été décidée par le SEM sans motivation détaillée, celle-ci a cependant été précisée lors de la procédure de recours, si bien que le vice affectant cette motivation défaillante est réparé ; les raisons de cette mesure, à savoir la situation de mineur non accompagné du recourant, dépourvu de toute perspective de soutien familial en cas de retour dans une région troublée, ne pouvaient d'ailleurs guère échapper à sa représentante légale. L'arrêt D-3179/2013 du 5 mai 2014, cité par le recourant à l'appui de ses arguments, a prononcé la cassation de la décision attaquée essentiellement en raison de violations graves du droit d'être entendu, commises par le SEM, la question de la motivation de l'admission provisoire ne jouant qu'un rôle accessoire. A cela s'ajoute que le recours ne peut tendre qu'à modifier le dispositif de la décision attaquée, et non les motifs de celle-ci (cf. Pierre Moor, Droit administratif, vol. II, 3ème éd. 201, ch. 5.8.1.4 p. 807-808 ; 5.8.4.2 p. 823-825).</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L'assistance judiciaire ayant été accordée, il n'y a pas lieu de percevoir de frais (art. 65 al. 1 PA).</w:t>
      </w:r>
    </w:p>
    <w:p>
      <w:r>
        <w:rPr>
          <w:b/>
        </w:rPr>
        <w:t>E. 6.2</w:t>
      </w:r>
    </w:p>
    <w:p>
      <w:r>
        <w:t>Le Tribunal fixe l'indemnité des mandataires commis d'office sur la base du décompte ou, en l'absence de celui-ci, sur la base du dossier (art. 14 al. 1 et 2 du règlement du 21 février 2008 concernant les frais, dépens et indemnités fixés par le Tribunal administratif fédéral [FITAF, RS 173.320.2]).</w:t>
      </w:r>
    </w:p>
    <w:p>
      <w:r>
        <w:rPr>
          <w:b/>
        </w:rPr>
        <w:t>E. 6.3</w:t>
      </w:r>
    </w:p>
    <w:p>
      <w:r>
        <w:t>En l'espèce, la note de frais, jointe à la réplique du 3 janvier 2017, indique un montant de 582 francs (trois heures de travail au tarif horaire de 194 francs) et de 54 francs de "frais de dossier", soit un total de 636 francs. Ce montant apparaît cependant excessif au regard du tarif horaire de 100 à 150 francs applicable aux mandataires non avocats. L'indemnité sera dès lors arrêtée à 450 francs (trois heures de travail au tarif horaire de 150 francs) et à 20 francs de frais de dossier, soit un total de 470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