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E-6938/2013 vom 12. Dezember 2013</w:t>
      </w:r>
    </w:p>
    <w:p>
      <w:r>
        <w:t>Bundesverwaltungsgericht, 2013-12-12, DE</w:t>
      </w:r>
    </w:p>
    <w:p>
      <w:r>
        <w:rPr>
          <w:b/>
        </w:rPr>
        <w:t xml:space="preserve">Quelle: </w:t>
      </w:r>
      <w:r>
        <w:t>https://mcp.opencaselaw.ch/entscheid/bvger_E-6938_2013</w:t>
      </w:r>
    </w:p>
    <w:p>
      <w:r>
        <w:t>FR: TAF E-6938/2013 du 12 décembre 2013</w:t>
      </w:r>
    </w:p>
    <w:p>
      <w:r>
        <w:t>IT: TAF E-6938/2013 del 12 dicembre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stellt in der angefochtenen Verfügung fest, die maltesischen Behörden hätten dem Beschwerdeführer ein Visum erteilt und dem Übernahmeersuchen des BFM zugestimmt. Weiter führt die Vorinstanz aus, weder die in Malta herrschende Situation noch andere Gründe würden gegen die Zumutbarkeit der Wegweisung sprechen. Zudem habe Malta auch der Überstellung der Familienangehörigen zugestimmt.</w:t>
      </w:r>
    </w:p>
    <w:p>
      <w:r>
        <w:rPr>
          <w:b/>
        </w:rPr>
        <w:t>E. 4.1</w:t>
      </w:r>
    </w:p>
    <w:p>
      <w:r>
        <w:t>Malta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w:t>
      </w:r>
    </w:p>
    <w:p>
      <w:r>
        <w:rPr>
          <w:b/>
        </w:rPr>
        <w:t>E. 4.2</w:t>
      </w:r>
    </w:p>
    <w:p>
      <w:r>
        <w:t>Das Bundesverwaltungsgericht hat sich im Urteil BVGE 2012/27 zur Situation der Asylsuchenden in Malta geäussert. Gemäss diesem Entscheid kann die Vermutung, Malta beachte die den betroffenen Personen im Gemeinsamen Europäischen Asylsystem zustehenden Grundrechte in angemessener Weise, nicht ohne weiteres aufrechterhalten werden. Dies bedeute indes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w:t>
      </w:r>
    </w:p>
    <w:p>
      <w:r>
        <w:rPr>
          <w:b/>
        </w:rPr>
        <w:t>E. 4.3</w:t>
      </w:r>
    </w:p>
    <w:p>
      <w:r>
        <w:t>Die Rüge, die angefochtene Verfügung verletze die Begründungspflicht, geht fehl.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hat die Vorinstanz genügend dargelegt, aus welchen Gründen sie den Vollzug der Wegweisung als zumutbar erachtet. Namentlich hat sie festgestellt, dass weder die herrschende Lage noch andere Gründe gegen die Zumutbarkeit sprechen würden. Die Beschwerde selbst zeigt denn auch, dass eine sachgerechte Anfechtung möglich war. Eine Verletzung der Begründungspflicht liegt nicht vor.</w:t>
      </w:r>
    </w:p>
    <w:p>
      <w:r>
        <w:rPr>
          <w:b/>
        </w:rPr>
        <w:t>E. 4.4</w:t>
      </w:r>
    </w:p>
    <w:p>
      <w:r>
        <w:t>Der Beschwerdeführer bringt in der Rechtsmitteleingabe vor, er werde in Malta durch Gaddafi-Anhänger bedroht. Dazu ist festzustellen, dass er dieses Sachverhaltselement anlässlich der Befragung zur Person - auch nach expliziter Frage nach Gründen, die gegen eine Überstellung nach Malta sprechen würden - nicht erwähnt hat (vgl. Protokoll der BzP S. 7). Zudem werden mit der Beschwerde keine Beweismittel für dieses Vorbringen eingereicht. Abgesehen von der nahe liegenden Frage nach der Glaubhaftigkeit dieser Vorbringen bleibt festzuhalten, dass den Akten keine Hinweise dafür zu entnehmen sind, der Beschwerdeführer könne nötigenfalls nicht bei den maltesischen Behörden um Schutz nachsuchen.</w:t>
      </w:r>
    </w:p>
    <w:p>
      <w:r>
        <w:rPr>
          <w:b/>
        </w:rPr>
        <w:t>E. 4.5</w:t>
      </w:r>
    </w:p>
    <w:p>
      <w:r>
        <w:t>Der Beschwerdeführer ist mit einem gültigen Schengen-Visum nach Malta eingereist. Er gehört damit nicht zur Kategorie der illegal eingereisten Asylsuchenden, denen in Malta eine mit Art. 5 EMRK nicht vereinbarende Administrativhaft droht. Insoweit sind die geäusserten Befürchtungen des Beschwerdeführers unbegründet (BVGE 2012/27 E. 7.5.1). Der Beschwerdeführer gehört offensichtlich keiner der in BVGE 2012/27 genannten Gruppe von verletzlichen Personen mit besonders ausgeprägten Betreuungsbedürfnissen an, wozu Familien mit Kindern, unbegleitete Minderjährige, Schwangere, Personen mit körperlichen Behinderungen oder ernsthaften gesundheitlichen Problemen und betagte Menschen gehören. Sodann beruft sich der Beschwerdeführer in der Rechtsmitteleingabe auf das Asylverfahren seiner Schwester und deren Familie. Indes verkennt er, dass diesbezüglich eine wesentlich andere Situation vorliegt. Die Familie der Schwester umfasst zwei Kleinkinder und gehört deshalb der entsprechenden Gruppe von verletzlichen Personen an. Weiter vermag der Beschwerdeführer im Hinblick auf die Überstellung auch aus dem Dublin-Verfahren seiner Mutter und den minderjährigen Geschwistern nichts zu seinen Gunsten abzuleiten. Was die Rücküberstellung des Beschwerdeführers anbelangt, so ist er nicht alleine, sondern zusammen mit seiner Schwester nach Malta und von dort in die Schweiz gereist. Insoweit kann er auch mit der Schwester nach Malta zurückgeführt und seine Überstellung mit derjenigen der Schwester zeitlich koordiniert werden. Auch wird es Sache der Vollzugsbehörden sein, die Überstellung allenfalls mit derjenigen der weiteren Verwandten des Beschwerdeführers zu koordinieren. Schliesslich ist auf die Ausführung in der Rechtsmitteleingabe, wonach der Beschwerdeführer seine Asylgründe nicht habe ausreichend geltend machen können, nicht einzugehen. Beim vorliegenden Verfahren geht es einzig um die Frage des für das Asylverfahren zuständigen Staates und die Überstellung. Die entsprechenden Asylvorbringen wird der Beschwerdeführer im Rahmen des Asylverfahrens in Malta geltend machen können. Insgesamt besteht kein Anlass, aufgrund der in Malta herrschenden Aufenthaltsbedingungen oder einem anderen Grund eine drohende Verletzung von Grundrechten des Beschwerdeführers anzunehmen. An dieser Feststellung vermögen auch die mit der Beschwerde eingereichten drei Berichte über die Situation der Asylsuchenden auf Malta nichts zu ändern. Sodann stehen auch keine humanitären Gründe einer Überstellung des Beschwerdeführers nach Malta entgegen (Art. 29a Abs. 3 der Asylverordnung 1 vom 11. August 1999 über Verfahrensfragen [AsylV 1, SR 142.311]). Damit besteht keine Veranlassung zu einem Selbsteintritt der Schweiz.</w:t>
      </w:r>
    </w:p>
    <w:p>
      <w:r>
        <w:rPr>
          <w:b/>
        </w:rPr>
        <w:t>E. 4.6</w:t>
      </w:r>
    </w:p>
    <w:p>
      <w:r>
        <w:t>Die Vorinstanz ist demnach zutreffend von der Zuständigkeit Maltas ausgegangen und in Anwendung von Art. 34 Abs. 2 Bst. d AsylG zu Recht auf das Asylgesuch nicht eingetreten.</w:t>
      </w:r>
    </w:p>
    <w:p>
      <w:r>
        <w:rPr>
          <w:b/>
        </w:rPr>
        <w:t>E. 5.1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Malta zu Recht als zulässig, zumutbar und möglich bezeichnet.</w:t>
      </w:r>
    </w:p>
    <w:p>
      <w:r>
        <w:rPr>
          <w:b/>
        </w:rPr>
        <w:t>E. 6</w:t>
      </w:r>
    </w:p>
    <w:p>
      <w:r>
        <w:t>Nach dem Gesagten ergibt sich, dass die angefochtene Verfügung Bundesrecht nicht verletzt und auch sonst nicht zu beanstanden ist (Art. 106 Abs. 1 AsylG). Die Beschwerde ist abzuweisen. Damit sind der Antrag auf Wiederherstellung der aufschiebenden Wirkung sowie der Antrag, die kantonalen Behörden seien anzuweisen, von Vollzugshandlungen abzusehen, gegenstandslos geworden.</w:t>
      </w:r>
    </w:p>
    <w:p>
      <w:r>
        <w:rPr>
          <w:b/>
        </w:rPr>
        <w:t>E. 7.1</w:t>
      </w:r>
    </w:p>
    <w:p>
      <w:r>
        <w:t>Der Beschwerdeführer beantragt die Gewährung der unentgeltlichen Prozessführung gemäss Art. 65 Abs. 1 VwVG. Aufgrund der vorstehenden Erwägungen ergibt sich, dass sein Begehren als aussichtslos zu gelten hat. Damit ist eine der kumulativ zu erfüllenden Voraussetzungen nicht gegeben, weshalb dem Gesuch um Gewährung der unentgeltlichen Prozessführung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