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E-6936/2016 vom 27. Februar 2018</w:t>
      </w:r>
    </w:p>
    <w:p>
      <w:r>
        <w:t>Bundesverwaltungsgericht, 2018-02-27, DE</w:t>
      </w:r>
    </w:p>
    <w:p>
      <w:r>
        <w:rPr>
          <w:b/>
        </w:rPr>
        <w:t xml:space="preserve">Quelle: </w:t>
      </w:r>
      <w:r>
        <w:t>https://mcp.opencaselaw.ch/entscheid/bvger_E-6936_2016</w:t>
      </w:r>
    </w:p>
    <w:p>
      <w:r>
        <w:t>FR: TAF E-6936/2016 du 27 février 2018</w:t>
      </w:r>
    </w:p>
    <w:p>
      <w:r>
        <w:t>IT: TAF E-6936/2016 del 27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AsylG und das VGG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Mit Beschwerde können im Bereich des AsylG die Verletzung von Bundesrecht (einschliesslich Missbrauch und Überschreiten des Ermessens) sowie die unrichtige und unvollständige Feststellung des rechtserheblichen Sachverhalts gerügt werden (Art. 106 Abs. 1 AsylG, vgl. BVGE 2014/26 E. 5).</w:t>
      </w:r>
    </w:p>
    <w:p>
      <w:r>
        <w:rPr>
          <w:b/>
        </w:rPr>
        <w:t>E. 3</w:t>
      </w:r>
    </w:p>
    <w:p>
      <w:r>
        <w:t>Die vorliegende Beschwerde richtet sich gegen die Verneinung der Flüchtlingseigenschaft (Ziff. 1), die Ablehnung des Asylgesuchs (Ziff. 2) und die Wegweisung aus der Schweiz (Ziff. 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ab ist festzustellen, dass von der Vorinstanz nicht in Zweifel gezogen wurde, dass es sich beim Beschwerdeführer zum Zeitpunkt seiner Gesucheinreichung um einen unbegleiteten Minderjährigen handelte (A6/1; Art. 1a Bst. d der Asylverordnung 1 vom 11. August 1999 [AsylV 1, SR 142.311]).</w:t>
      </w:r>
    </w:p>
    <w:p>
      <w:r>
        <w:rPr>
          <w:b/>
        </w:rPr>
        <w:t>E. 5.2</w:t>
      </w:r>
    </w:p>
    <w:p>
      <w:r>
        <w:t>Nachdem der Beschwerdeführer am 23. Juli 2015 sein Asylgesuch eingereicht und die BzP am 3. August 2015 stattgefunden hatte, kündigte das SEM dem Kanton die Ankunft eines unbegleiteten minderjährigen Asylsuchenden am 5. August 2015 an (vgl. A13/2); die zuständige kantonale Behörde ernannte am 10. August 2015 eine Vertrauensperson (vgl. A17/2). Die Einladung des SEM für die Anhörung vom 12. Oktober 2015 wurde am 25. September 2015 korrekt an die Vertrauensperson gesandt (vgl. A18/2). Anders als im von der Rechtsvertreterin des Beschwerdeführers zitierten Entscheid des Bundesverwaltungsgerichts vom 22. August 2016 (D-7700/2015, E. 6.2), wo zwischen Einreise, Erstbefragung und Anhörung zu den Asylgründen keine zwei Wochen lagen, sind die Intervalle vorliegend - elf Tage zwischen Einreise und BzP, fast zweieinhalb Monate zwischen BzP und Anhörung - als angemessen zu betrachten. Der Beschwerdeführer hatte nach Zuteilung seiner Vertrauensperson am 10. August 2015 (A17/2) zwei Monate Zeit, um diese kennenzulernen. Eine Verletzung des rechtlichen Gehörs seitens des SEM fällt damit ausser Betracht.</w:t>
      </w:r>
    </w:p>
    <w:p>
      <w:r>
        <w:rPr>
          <w:b/>
        </w:rPr>
        <w:t>E. 5.3</w:t>
      </w:r>
    </w:p>
    <w:p>
      <w:r>
        <w:t>In der Zwischenzeit ist der Beschwerdeführer volljährig geworden.</w:t>
      </w:r>
    </w:p>
    <w:p>
      <w:r>
        <w:rPr>
          <w:b/>
        </w:rPr>
        <w:t>E. 6.1</w:t>
      </w:r>
    </w:p>
    <w:p>
      <w:r>
        <w:t>In der angefochtenen Verfügung hat die Vorinstanz nachvollziehbar aufgezeigt, weshalb es dem Beschwerdeführer nicht gelungen ist, seine Vorbringen betreffend die Einberufung zum Militärdienst glaubhaft darzulegen. Zu Recht hält die Vorinstanz mit Verweis auf seine fehlenden substantiierten Angaben in Bezug auf den Schulabbruch, den Beginn des Schul-semesters oder der Ferien und des bei der Anhörung nicht mehr erinnerlichen Einschulungsalters fest, dass bereits der vorgetragene Grund für die Einberufung zum Militärdienst nicht geglaubt werden könne. Diesbezüglich kann, um Wiederholungen zu vermeiden, auf die zutreffenden Erwägungen der angefochtenen Verfügung verwiesen werden.</w:t>
      </w:r>
    </w:p>
    <w:p>
      <w:r>
        <w:rPr>
          <w:b/>
        </w:rPr>
        <w:t>E. 6.2</w:t>
      </w:r>
    </w:p>
    <w:p>
      <w:r>
        <w:t>Seinen Ausführungen bei der Anhörung ist weiter zu entnehmen, dass der Beschwerdeführer sich gemäss Vorladung aus Arbeitsgründen innert vier Tagen hätte bei der Stadtverwaltung melden müssen (A19/11 F106). Er sei innerhalb von weniger als einer Woche seit Erhalt der Vorladung ausgereist, ohne die Meldung bei der Verwaltung vorzunehmen beziehungsweise sich zu erkundigen, weshalb er sich überhaupt melden müsse. Unabhängig von der Frage, ob es sich hierbei tatsächlich um eine Vorladung zur Leistung des Militärdienstes gehandelt hat, fügt sich in seine wenig spezifischen Ausführungen nahtlos ein, dass er die mutmassliche Vorladung, welche sich gemäss seinen Angaben zuhause befunden habe, nicht mehr nachreichte und die Vorinstanz auch nicht über allenfalls gescheiterte Beschaffungsversuche in Kenntnis setzte (A19/14 F138 f.). Selbst auf Beschwerdestufe blieb er eine Erklärung schuldig. Damit erweist sich die Basis für die Annahme, dass er sich seiner Militärdienstpflicht entzogen habe, als nicht tragfähig.</w:t>
      </w:r>
    </w:p>
    <w:p>
      <w:r>
        <w:rPr>
          <w:b/>
        </w:rPr>
        <w:t>E. 6.3</w:t>
      </w:r>
    </w:p>
    <w:p>
      <w:r>
        <w:t>Soweit der Beschwerdeführer geltend macht, er sei nicht ausführlich genug zur Vorladung befragt worden, geht auch diese Rüge fehl, stellte ihm die Vorinstanz doch dazu mehrere Fragen und setzte sich damit hinreichend mit der behaupteten Refraktion auseinander (A19/11 F104-111, F126, F138-142). Der Beschwerdeführer gibt denn auch nicht an, ob und inwiefern er sich bei allfälligen weiteren Fragen konkreter hätte zur Vorladung äussern können.</w:t>
      </w:r>
    </w:p>
    <w:p>
      <w:r>
        <w:rPr>
          <w:b/>
        </w:rPr>
        <w:t>E. 6.4</w:t>
      </w:r>
    </w:p>
    <w:p>
      <w:r>
        <w:t>Zusammenfassend ist festzustellen, dass es dem Beschwerdeführer nicht gelungen ist, eine im Zeitpunkt seiner Ausreise aus Eritrea bestehende oder ihm drohende asylrelevante Gefährdung nachzuweisen oder glaubhaft zu machen. Im Zeitpunkt seiner Ausreise hat der Beschwerdeführer die Flüchtlingseigenschaft im Sinne von Art. 3 AsylG nicht erfüllt; mit anderen Worten liegen keine Vorfluchtgründe vor.</w:t>
      </w:r>
    </w:p>
    <w:p>
      <w:r>
        <w:rPr>
          <w:b/>
        </w:rPr>
        <w:t>E. 7.1</w:t>
      </w:r>
    </w:p>
    <w:p>
      <w:r>
        <w:t>Somit bleibt zu prüfen, ob der Beschwerdeführer wegen seiner Ausreise aus Eritrea bei einer Rückkehr dorthin - mithin wegen subjektiver Nachfluchtgründe gemäss Art. 54 AsylG -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7.3</w:t>
      </w:r>
    </w:p>
    <w:p>
      <w:r>
        <w:t>Der Beschwerdeführer macht geltend, er habe Eritrea illegal verlassen. Sinngemäss sieht er sich im Falle einer Rückkehr dorthin an Leib und Leben sowie in seiner Freiheit gefährdet.</w:t>
      </w:r>
    </w:p>
    <w:p>
      <w:r>
        <w:rPr>
          <w:b/>
        </w:rPr>
        <w:t>E. 7.4</w:t>
      </w:r>
    </w:p>
    <w:p>
      <w:r>
        <w:t>Gemäss langjähriger bisheriger Praxis der schweizerischen Asylbehörden begründete bereits eine (glaubhaft gemachte) illegale Ausreise aus Eritrea ohne weiteres die Flüchtlingseigenschaft. Das SEM verschärfte diese Praxis im Sommer 2016, wovon auch der Beschwerdeführer betroffen war. Die Frage nach der vom SEM eingeleiteten und seitens des Beschwerdeführers beanstandeten Praxisänderung hat das Bundesverwaltungsgericht im Rahmen des (in seinen beiden Asylabteilungen koordiniert behandelten) Urteils D-7898/2015 vom 30. Januar 2017 (als Referenzurteil publiziert) entschieden. Nachdem das Bundesverwaltungsgericht die vorinstanzlichen Praxisänderung demnach mittlerweile bestätigt hat, ist die Rüge, diese Praxisänderung sei unzulässig gewesen (vgl. Beschwerde S. 4 ff., Replik vom 15. Dezember 2016), obsolet geworden. Im besagten Referenzurteil befasste sich das Gericht mit der Frage, ob Eritreerinnen und Eritreer, die ihr Land illegal verlassen haben, allein deswegen bei einer Rückkehr Verfolgung zu befürchten haben. Es kam dabei zum Schluss, dass sich die bisherige Praxis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(a.a.O., E. 5).</w:t>
      </w:r>
    </w:p>
    <w:p>
      <w:r>
        <w:rPr>
          <w:b/>
        </w:rPr>
        <w:t>E. 7.5</w:t>
      </w:r>
    </w:p>
    <w:p>
      <w:r>
        <w:t>Im vorliegenden Fall sind solche zusätzlichen Gefährdungsfaktoren nicht ersichtlich. Aufgrund des oben Gesagten ist nicht anzunehmen, dass der Beschwerdeführer in den Nationaldienst respektive den Militärdienst einberufen wurde (vgl. vorliegende E. 5). Andere Anknüpfungspunkte, welche ihn in den Augen des eritreischen Regimes als missliebige Person erscheinen lassen könnten beziehungsweise zu einer Schärfung seines Profils und dadurch zu einer flüchtlingsrechtlich relevanten Verfolgungsgefahr führen könnten, machte er weder geltend noch gehen solche aus den Akten hervor. Wie bereits erwähnt, vermag die illegale Ausreise allein keine Furcht vor einer zukünftigen flüchtlingsrechtlich relevanten Verfolgung zu begründen. Die Frage der Glaubhaftigkeit der illegalen Ausreise kann daher mangels flüchtlingsrechtlicher Relevanz offenbleiben.</w:t>
      </w:r>
    </w:p>
    <w:p>
      <w:r>
        <w:rPr>
          <w:b/>
        </w:rPr>
        <w:t>E. 7.6</w:t>
      </w:r>
    </w:p>
    <w:p>
      <w:r>
        <w:t>Es ist dem Beschwerdeführer folglich nicht gelungen, eine relevante Verfolgungsgefahr im Sinne von Art. 3 bzw. Art. 54 AsylG nachzuweisen oder glaubhaft darzutun. Das SEM hat seine Flüchtlingseigenschaft demnach zu Recht verneint.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Nachdem das SEM in seiner Verfügung vom 10. Oktober 2016 die vorläufige Aufnahme des Beschwerdeführers in der Schweiz angeordnet hat, erübrigen sich praxisgemäss weitere Ausführungen zur Zulässigkeit, Zumutbarkeit und Möglichkeit des Wegweisungsvollzugs. Mit dem vorliegenden Entscheid tritt die vorläufige Aufnahme formell in Kraft.</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Da ihm indes mit Zwischenverfügung vom 22. November 2016 die unentgeltliche Prozessführung gewährt wurde und seine Bedürftigkeit weiterhin aktenkundig ist, sind keine Verfahrenskosten zu erheben (Art. 1-3 des Reglements vom 21. Februar 2008 über die Kosten und Entschädigungen vor dem Bundesverwaltungsgericht [VGKE, SR 173.320.2]).</w:t>
      </w:r>
    </w:p>
    <w:p>
      <w:r>
        <w:rPr>
          <w:b/>
        </w:rPr>
        <w:t>E. 11.2</w:t>
      </w:r>
    </w:p>
    <w:p>
      <w:r>
        <w:t>Eine Parteientschädigung im Sinne von Art. 64 VwVG ist beim vorliegenden Verfahrensausgang nicht zuzusprechen. Hingegen ist der Rechtsvertreterin als amtlich beigeordneter Rechtsbeiständin für die ihr angefallenen Kosten ein Honorar auszurichten. Sie reichte am 15. Dezember 2016 eine Kostennote über insgesamt Fr. 1'070.- bei einem Stundenansatz von Fr. 200.- ein. Entsprechend der (der Rechtsvertreterin mit Zwischenverfügung vom 22. November 2016 mitgeteilten) Praxis des Gerichts, wonach bei amtlicher Vertretung in der Regel von einem Stundenansatz von Fr. 200.- bis Fr. 220.- für Anwältinnen und Anwälte und Fr. 100.- bis Fr. 150.- für nicht-anwaltliche Vertreterinnen und Vertreter ausgegangen (vgl. Art. 12 i.V.m. Art. 10 Abs. 2 VGKE) und nur der notwendige Aufwand entschädigt (vgl. Art. 8 Abs. 2 VGKE) wird, ist das Honorar auf Fr. 150.- pro Stunde zu kürzen. Bei einem angemessenen zeitlichen Aufwand von fünf Stunden und den zu vergütenden Barauslagen für Porti, Telefon- und Faxgebühren und Dolmetscher von Fr. 70.- ist das Honorar auf insgesamt Fr. 820.-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