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E-6935/2018 vom 14. September 2020</w:t>
      </w:r>
    </w:p>
    <w:p>
      <w:r>
        <w:t>Bundesverwaltungsgericht, 2020-09-14, DE</w:t>
      </w:r>
    </w:p>
    <w:p>
      <w:r>
        <w:rPr>
          <w:b/>
        </w:rPr>
        <w:t xml:space="preserve">Quelle: </w:t>
      </w:r>
      <w:r>
        <w:t>https://mcp.opencaselaw.ch/entscheid/bvger_E-6935_2018</w:t>
      </w:r>
    </w:p>
    <w:p>
      <w:r>
        <w:t>FR: TAF E-6935/2018 du 14 septembre 2020</w:t>
      </w:r>
    </w:p>
    <w:p>
      <w:r>
        <w:t>IT: TAF E-6935/2018 del 14 settembre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w:t>
      </w:r>
    </w:p>
    <w:p>
      <w:r>
        <w:rPr>
          <w:b/>
        </w:rPr>
        <w:t>E. 3.2</w:t>
      </w:r>
    </w:p>
    <w:p>
      <w:r>
        <w:t>Der Wegweisungsvollzug wurde zugunsten einer vorläufigen Aufnahme aufgeschoben und bildet deshalb nicht Gegenstand des Beschwerdeverfahrens. Auf die Beschwerdeausführungen zum Vollzug der Wegweisung ist daher nicht einzugehen (Beschwerde S. 12 Art. 20).</w:t>
      </w:r>
    </w:p>
    <w:p>
      <w:r>
        <w:rPr>
          <w:b/>
        </w:rPr>
        <w:t>E. 3.3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Die Beschwerdeführer rügen in formeller Hinsicht, die Vorinstanz habe den Anspruch auf rechtliches Gehör und die Pflicht zur vollständigen und richtigen Abklärung des rechtserheblichen Sachverhalts sowie Art. 9 BV verletzt. Diese formellen Rügen sind vorab zu prüfen, da sie zu einer Kassation der angefochtenen Verfügung führen können.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Die Beschwerdeführer rügen zunächst, die Vorinstanz habe es unterlassen, die eingereichten Beweismittel eingehend zu würdigen, was insbesondere im Hinblick auf die Dienstdauer von Bedeutung sei. Die Beschwerdeführer verwechseln hier eine Verletzung des rechtlichen Gehörs mit der von der Vorinstanz vorgenommenen Beweiswürdigung. Eine diesbezügliche Verletzung des rechtlichen Gehörs liegt jedenfalls nicht vor. Die Vorinstanz hat sämtliche eingereichten Beweismittel im Sachverhalt aufgenommen und diese entsprechend ihrer Rechtserheblichkeit gewürdigt. Im Übrigen ist sie korrekt von der geltend gemachten Dienstdauer ausgegangen.</w:t>
      </w:r>
    </w:p>
    <w:p>
      <w:r>
        <w:rPr>
          <w:b/>
        </w:rPr>
        <w:t>E. 5.3</w:t>
      </w:r>
    </w:p>
    <w:p>
      <w:r>
        <w:t>Es sind auch keine anderen Verletzungen des rechtlichen Gehörs ersichtlich. Die Rügen der Gehörsverletzung sind somit insgesamt unbegründet. Die Verfügung der Vorinstanz ist ausreichend begründet, zumal sie sich nicht mit jedem einzelnen Vorbringen auseinandersetzen muss. Dass eine sachgerechte Anfechtung möglich war, zeigt die Beschwerde selbst. Der Begründungspflicht ist mithin ebenfalls Genüge getan.</w:t>
      </w:r>
    </w:p>
    <w:p>
      <w:r>
        <w:rPr>
          <w:b/>
        </w:rPr>
        <w:t>E. 6.1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6.2</w:t>
      </w:r>
    </w:p>
    <w:p>
      <w:r>
        <w:t>Weiter wird gerügt, die Vorinstanz habe den Sachverhalt unvollständig und fehlerhaft festgestellt. Sie beschränke sich auf die Behauptung, die Vorbringen des Beschwerdeführers seien nicht asylrelevant. Stattdessen hätte sie zwingend weitere Abklärungen, insbesondere eine weitere Anhörung durchführen müssen. Zudem habe sie nicht miteinbezogen, dass sich der Beschwerdeführer mehrfach vom Dienst entfernt und somit mehrfach gegen das Militärgesetz des Iraks verstossen habe. Die Rügen zur rechtsfehlerhaften Sachverhaltsfeststellung gehen ebenfalls fehl. Der Sachverhalt wurde weder unvollständig noch unrichtig festgestellt. Zusätzliche Abklärungen würden weder zu neuen sachdienlichen Erkenntnissen führen noch wären sie im vorinstanzlichen Verfahren entscheiderheblich gewesen. Wie sowohl dem Sachverhalt als auch den Erwägungen der angefochtenen Verfügung zu entnehmen ist, ist die Vorinstanz im Übrigen sehr wohl davon ausgegangen, dass der Beschwerdeführer wiederholt vom Dienst fernblieb (angefochtene Verfügung, Sachverhalt S. 3, Erwägungen S. 4 f.). Alleine der Umstand, dass die Vorinstanz aus sachlichen Gründen zu einer anderen Würdigung der Gesuchsvorbringen gelangt als von den Beschwerdeführern verlangt, spricht jedenfalls nicht für eine ungenügende Sachverhaltsfeststellung. Schliesslich kommt dem Willkürverbot (Art. 9 BV) im vorliegenden Verfahren keine eigenständige Bedeutung zu. Die Beschwerdeführer berufen sich nur in Verbindung mit anderen Bestimmungen auf das Willkürverbot und führen nicht weiter aus, inwiefern dieses verletzt sein soll. Vor diesem Hintergrund enthält sich das Bundesverwaltungsgericht der eigenständigen Prüfung einer Verletzung von Art. 9 BV.</w:t>
      </w:r>
    </w:p>
    <w:p>
      <w:r>
        <w:rPr>
          <w:b/>
        </w:rPr>
        <w:t>E. 7</w:t>
      </w:r>
    </w:p>
    <w:p>
      <w:r>
        <w:t>Zusammenfassend ist festzustellen, dass die Vorinstanz das Asylverfahren gesetzeskonform durchgeführt hat. Die formellen Rügen erweisen sich als unbegründet. Die Anträge, es sei die angefochtene Verfügung aus diesen Gründen aufzuheben, die Sache zur Feststellung des vollständigen und richtigen rechtserheblichen Sachverhalts und zur Neubeurteilung an das SEM zurückzuweisen, sind demzufolge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9.1</w:t>
      </w:r>
    </w:p>
    <w:p>
      <w:r>
        <w:t>Nach Prüfung der Akten durch das Gericht ist in Übereinstimmung mit der Vorinstanz festzustellen, dass die Vorbringen des Beschwerdeführers (Probleme innerhalb der Peschmerga und Desertion) den Anforderungen an die Flüchtlingseigenschaft gemäss Art. 3 AsylG nicht standzuhalten vermögen, weshalb vorab auf die zutreffenden Erwägungen der Vorinstanz zu verweisen ist. Die Rekrutierung bei den Peschmerga erfolgt freiwillig und vertraglich, eine allgemeine Dienstpflicht gibt es nicht. Das irakische Militärstrafgesetz (2007) beschreibt bezüglich Desertion verschiedene Straftatbestände, welche von Geldstrafen bis zur Todesstrafe variieren. So wird zum Beispiel für das Überlaufen zum Feind die Todesstrafe verhängt. Auch im Strafgesetz für die internen Sicherheitskräfte (2008) werden Strafen für die Abwesenheit vom Dienst beschrieben; dabei handelt es sich je nach Dauer der Abwesenheit um unterschiedlich lange Haftstrafen. Diese gesetzlichen Grundlagen gelten im ganzen Land, können aber meistens nicht umgesetzt werden. Nach Erkenntnissen der Schweizerischen Flüchtlingshilfe, gestützt unter anderem auf Auskünfte des Danish Immigration Service, des Finnish Immigration Service und der Schwedischen Migrationsbehörde, ziehen Desertionen von den Peschmerga in der Praxis in der Regel keine tiefgreifenden Folgen nach sich. Für Peschmerga mit einem niedrigen Dienstrang sei ein Austritt kein Problem. Lediglich für hochrangige Peschmerga sei es schwieriger, den Dienst zu verlassen; hier könne eine Desertion Konsequenzen haben. Laufende Verfahren wegen Desertionen seien allerdings nicht bekannt. Im März 2017 sei der Einzug der bei Dienstantritt hinterlegten finanziellen Garantie die einzige Bestrafung für rechtswidriges Verlassen des Dienstes gewesen. Sogar diese Strafe konnte laut Quellenangaben erlassen werden, wenn die Person triftige Gründe wie beispielsweise eine Erkrankung der Eltern nachweisen könne. Nach Auskunft des Generalsekretärs des Ministry of Peshmerga Affairs habe man in zehn Prozent der Fälle der Desertionen die vom Sponsor hinterlegte Summe beschlagnahmt. Desertierte oder floh jemand mit der Waffe in der Hand, sei auch eine Freiheitsstrafe möglich gewesen. Wenn die Person die Waffen zurückbrachte, sei die Strafe auf eine Geldstrafe reduziert worden. Wer die Waffe verkaufte, riskierte eine Haftstrafe (vgl. zum Ganzen: Migrationsverket, [Schwedische Migrationsbehörde], Anställning och avslutande av tjänst i peshmergan, Juni 2017, S. 1 ff.; Danish Refugee Council, The Kurdistan Region of Iraq [KRI], April 2016, S. 41 f., 124; Schweizerische Flüchtlingshilfe [SFH], Irak: Peschmerga in der KRG-Region, Auskunft der SFH-Länderanalyse, 7. Januar 2019, S. 8 und 11 f.; EASO, Informationsbericht über das Herkunftsland, Irak, Gezielte Gewalt gegen Individuen, März 2019, S. 81 f.). Unter Berücksichtigung dieser Erkenntnismittellage ist zusammen mit der Vorinstanz festzustellen, dass die Desertion des Beschwerdeführers keine Asylrelevanz zu entfalten vermag (vgl. zur Desertion aus den Peschmerga: Urteile des BVGer D-931/2018 vom 23. Februar 2020 E. 6.4, E-209/2017 vom 26. November 2019 E. 4.7.2, E-209/2017 vom 25. November 2019 E. 4.7 m.w.H.). Dasselbe trifft zu für die innerhalb der Perschmerga geltend gemachten Probleme aufgrund der unerlaubten kurzfristigen Abwesenheit (Trauerfeier). Im Übrigen weisen diese Probleme (Befragungen, vorübergehende Disziplinarmassnahme und Versetzung) auch keine ausreichende Intensität auf und hat der Beschwerdeführer hiernach erneut Ferien erhalten und durfte sich wieder in die Reihen der Peschmerga eingliedern. Dass ihm seine Versetzung nicht zusagt, stellt jedenfalls keinen Asylgrund dar. So stünde es ihm namentlich offen, nach Ablauf seines Vertrages (die Arbeitsverträge mit den Peschmerga sind grundsätzlich auf die Dauer von drei Jahren befristet mit der Möglichkeit auf Verlängerung, Migrationsverket, a.a.O.) die Peschmerga zu verlassen. Die nicht erlaubte Anwesenheit an der Trauerfeier seiner Mutter und die darauffolgenden Divergenzen mit seinem Vorgesetzten mit anschliessender Versetzung untermauern vielmehr die Schlussfolgerung, dass der Beschwerdeführer trotz seiner langjährigen Tätigkeit bei den Peschmerga keine besonders hochrangige Funktion innegehabt haben kann, was im Übrigen auch aus dem ausgewiesenen Dienstgrad auf der im vorinstanzlichen Verfahren eingereichten, neuesten Peschmerga-Karte hervorgeht («[...]», SEM-Akten A35). Die auf Beschwerdeebene oder in der Anhörung erfolgte Selbstbezeichnung (...) beziehungsweise (...), ist indessen eine nicht belegte Behauptung. Dies würde im Übrigen auch ungeachtet des Dienstgrades am Dargelegten nichts ändern, war er doch stets seinem Offizier unterstellt. Die Fotos belegen den geltend gemachten Sachverhalt, lassen indessen - anders als auf Beschwerdeebene behauptet - ebenfalls nicht auf eine hochrangige Position des Beschwerdeführers innerhalb der Peschmerga schliessen. Weiterführende Beweismittel wurden auch auf Beschwerdeebene keine eingereicht. Der Beschwerdeführer macht sodann auch nicht geltend, er habe seine Waffe mitgenommen, sondern lediglich, er sei aus dem Lager mit dem Vorwand geflohen, auf den Markt zu gehen. Aufgrund der gemachten Aussagen und eingereichten Beweismittel kann zudem ausgeschlossen werden, dass er wesentliche Kenntnisse vertraulicher Informationen besitzen dürfte, die ein erhöhtes Verfolgungsinteresse seitens der Peschmerga begründen könnten. Demnach besteht kein Grund zur Annahme, dass der Beschwerdeführer aus einem Grund nach Art. 3 AsylG mit einer härteren Bestrafung rechnen müsste als andere Dienstabbrecher. Gegen eine begründete Verfolgungsfurcht der Beschwerdeführer spricht im Übrigen, dass die Ehefrau des Beschwerdeführers und der Beschwerdeführer D._______ (die aufgrund der Probleme des Beschwerdeführers ausgereist sind) inzwischen beim SEM ein Gesuch auf Ausstellung eines Rückreisevisums in den Irak gestellt haben.</w:t>
      </w:r>
    </w:p>
    <w:p>
      <w:r>
        <w:rPr>
          <w:b/>
        </w:rPr>
        <w:t>E. 9.2</w:t>
      </w:r>
    </w:p>
    <w:p>
      <w:r>
        <w:t>Angesichts der aufgezeigten Sachlage erübrigt es sich auf weitere Ausführungen in der Beschwerde einzugehen, da diese nicht geeignet sind, zu einer anderen rechtlichen Würdigung der Aktenlage zu führen. Es ist somit festzustellen, dass es den Beschwerdeführern nicht gelungen ist, einen flüchtlingsrechtlich bedeutsamen Sachverhalt darzulegen. Die Vorinstanz hat die Flüchtlingseigenschaft zutreffend verneint und die Asylgesuche zu Recht abgelehnt.</w:t>
      </w:r>
    </w:p>
    <w:p>
      <w:r>
        <w:rPr>
          <w:b/>
        </w:rPr>
        <w:t>E. 10</w:t>
      </w:r>
    </w:p>
    <w:p>
      <w:r>
        <w:t>Gemäss Art. 44 AsylG verfügt das Staatssekretariat in der Regel die Wegweisung aus der Schweiz, wenn es das Asylgesuch ablehnt oder darauf nicht eintritt. Die Beschwerdeführer verfügen weder über eine ausländerrechtliche Aufenthaltsbewilligung noch über einen Anspruch auf Erteilung einer solchen (vgl. BVGE 2009/50 E. 9 S. 733). Die Wegweisung wurde zu Recht angeordnet.</w:t>
      </w:r>
    </w:p>
    <w:p>
      <w:r>
        <w:rPr>
          <w:b/>
        </w:rPr>
        <w:t>E. 11</w:t>
      </w:r>
    </w:p>
    <w:p>
      <w:r>
        <w:t>Aus diesen Erwägungen ergibt sich, dass die angefochtene Verfügung Bundesrecht nicht verletzt und den rechtserheblichen Sachverhalt richtig und vollständig feststellt (Art. 106 Abs. 1 AsylG). Die Beschwerde ist abzuweisen.</w:t>
      </w:r>
    </w:p>
    <w:p>
      <w:r>
        <w:rPr>
          <w:b/>
        </w:rPr>
        <w:t>E. 12.1</w:t>
      </w:r>
    </w:p>
    <w:p>
      <w:r>
        <w:t>Die Beschwerdeführer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12.2</w:t>
      </w:r>
    </w:p>
    <w:p>
      <w:r>
        <w:t>Bei diesem Ausgang des Verfahrens sind die Kosten von Fr. 750.- (Art. 1-3 des Reglements vom 21. Februar 2008 über die Kosten und Entschädigungen vor dem Bundesverwaltungsgericht [VGKE], SR 173.320.2) den Beschwerdeführern aufzuerlegen (Art. 63 Abs. 1 VwVG). Mit dem vorliegenden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