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E-6934/2008 vom 14. Dezember 2010</w:t>
      </w:r>
    </w:p>
    <w:p>
      <w:r>
        <w:t>Bundesverwaltungsgericht, 2010-12-14, DE</w:t>
      </w:r>
    </w:p>
    <w:p>
      <w:r>
        <w:rPr>
          <w:b/>
        </w:rPr>
        <w:t xml:space="preserve">Quelle: </w:t>
      </w:r>
      <w:r>
        <w:t>https://mcp.opencaselaw.ch/entscheid/bvger_E-6934_2008</w:t>
      </w:r>
    </w:p>
    <w:p>
      <w:r>
        <w:t>FR: TAF E-6934/2008 du 14 décembre 2010</w:t>
      </w:r>
    </w:p>
    <w:p>
      <w:r>
        <w:t>IT: TAF E-6934/2008 del 14 dicembre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(vgl. Art. 105 AsylG i.V.m. Art. 33a VwVG und Art. 70 Abs. 1 der Bundesver­fassung der Schweizerischen Eidgenossenschaft vom 18. April 1999 [BV, SR 101]) abgefasst. Auf die Ansetzung einer Frist zur Beschwer­deverbesserung im Sinne von Art. 52 VwVG kann aus prozessökono­mischen Gründen jedoch verzichtet werden, da der in Englisch ver­fassten Beschwerde genügend klare Rechtsbegehren und deren Be­gründung zu entnehmen sind und ohne weiteres darüber befunden werden kann. Der vorliegende Entscheid ergeht hingegen in deutscher Sprache (vgl. Art. 33a Abs. 2 VwVG i.V.m. Art. 6 AsylG).</w:t>
      </w:r>
    </w:p>
    <w:p>
      <w:r>
        <w:rPr>
          <w:b/>
        </w:rPr>
        <w:t>E. 1.4</w:t>
      </w:r>
    </w:p>
    <w:p>
      <w:r>
        <w:t>Abgesehen vom Sprachlichen ist die Beschwerde frist- und form­gerecht eingereicht. 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Art. 105 AsylG i.V.m. Art. 37 VGG und Art. 48 Abs. 1 und 52 VwVG). Auf die Be­schwerde ist einzutreten.</w:t>
      </w:r>
    </w:p>
    <w:p>
      <w:r>
        <w:rPr>
          <w:b/>
        </w:rPr>
        <w:t>E. 1.5</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2.2</w:t>
      </w:r>
    </w:p>
    <w:p>
      <w:r>
        <w:t>Gemäss Art. 19 AsylG kann ein Asylgesuch im Ausland bei einer schweizerischen Vertretung gestellt werden, welche es mit einem Be­richt an das Bundesamt überweist (Art. 20 Abs. 1 AsylG). 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Die Schweizer Botschaft in Colombo führte am 5. September 2006 eine persönliche Befragung des Beschwerdeführers gemäss Art. 10 Abs. 1 AsylV 1 durch.</w:t>
      </w:r>
    </w:p>
    <w:p>
      <w:r>
        <w:rPr>
          <w:b/>
        </w:rPr>
        <w:t>E. 2.3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(vgl. Ent­scheidungen und Mitteilungen der vormaligen Schweizerischen Asylre­kurskommission [EMARK] 1997 Nr. 15 E. 2c S. 130), mithin die Prü­fung der Fragen, ob eine Gefährdung im Sinne von Art. 3 AsylG glaub­haft gemacht wird und ob der Verbleib am Aufenthaltsort für die Dauer der Sachverhaltsabklärung zugemutet werden kann (vgl. dazu die in diesem ganzen Zusammenhang nach wie vor massgeblichen EMARK 1997 Nr. 15 E. 2.e-g S. 130 f., EMARK 2004 Nr. 20 E. 3b S. 130 f. und Nr. 21 E. 2 S. 136 f., EMARK 2005 Nr. 19 E. 4 S. 174 ff.).</w:t>
      </w:r>
    </w:p>
    <w:p>
      <w:r>
        <w:rPr>
          <w:b/>
        </w:rPr>
        <w:t>E. 3.1</w:t>
      </w:r>
    </w:p>
    <w:p>
      <w:r>
        <w:t>Das BFM wies das Asyl- und Einreisegesuch des Beschwerdefüh­rers für sich und seine Familie gestützt auf Art. 20 Abs. 2 AsylG i.V.m. Art. 3 AsylG ab. In seiner Verfügung führte es aus, der Beschwerde­führer mache geltend, während (...) von den LTTE festge­halten worden zu sein, und er befürchte nun weitere Übergriffe. Dazu sei festzuhalten, dass der srilankische Staat grundsätzlich Willens sei, bedrohten beziehungsweise verfolgten Personen den erforderlichen Schutz zu gewähren. Den Akten könne nicht entnommen werden, dass sich der Beschwerdeführer vergeblich um Schutz bemüht habe, re­spektive dass adäquate Massnahmen nicht erfolgt wären. Gemäss sei­nen Angaben habe er überdies seit Ende 2006 keinen Kontakt und kei­ne Schwierigkeiten mit den LTTE mehr gehabt. Das Vorbringen, wo­nach er auf dem Weg zur Arbeit verfolgt werde, sei mit starken Zwei­feln behaftet. Selbst wenn dieses indessen den Tatsachen entsprechen sollte, so sei es offensichtlich zu keinen ernsthaften konkreten Zwi­schenfällen gekommen, und der Beschwerdeführer habe sich nicht veranlasst gesehen, deswegen etwas zu unternehmen. Zwar fühle er sich durch die heimatlichen Behörden nicht wirklich geschützt, mache indessen keine konkreten Ereignisse geltend, in welchen ihm kein Schutz gewährt worden sei. Den Akten sei insgesamt nicht zu entnehmen, dass er seit November 2006 ernsthafte Nachteile erlitten habe oder dass ihm solche gedroht hätten respektive dass er sich vergeblich um Schutz bemüht habe. Unter Berücksichtigung der vom Beschwerdeführer geltend gemachten Vorfälle möge zwar verständlich erscheinen, dass er sich vor Übergriffen fürchte. Diese subjektive Furcht genüge indessen nicht für die Annahme einer einreiserelevanten Verfolgungsgefahr, fehle es doch im vorliegenden Fall an konkreten Indizien, dass die Verfolger ihre Drohungen mit erheblicher Wahrscheinlichkeit in die Tat umzusetzen gedenkten.</w:t>
      </w:r>
    </w:p>
    <w:p>
      <w:r>
        <w:rPr>
          <w:b/>
        </w:rPr>
        <w:t>E. 3.2</w:t>
      </w:r>
    </w:p>
    <w:p>
      <w:r>
        <w:t>In seiner Rechtsmitteleingabe machte der Beschwerdeführer gel­tend, seit seiner Entlassung lebe er in grosser Furcht. Seine Frau habe mehrere Telefonanrufe erhalten, in welchen er auf bedrohliche Art zu einem Treffen an bestimmten Plätzen aufgefordert worden sei. Vom "Intelligence Service" sei er mehrfach befragt worden, (...). Er sei sich aber sicher, dass er (...). Zudem sei ihm (...). Bei der Arbeit (...). Sein Kind werde in der Schule von den Leh­rern als (...) bezeichnet, so dass es sich weigere, weiter in die Schule zu gehen. Schliesslich wies der Beschwerdeführer darauf hin, dass er als Katholik auch aus religiösen Gründen diskrimi­niert werde. Als Beweismittel legte er seiner Be­schwerde ein Schrei­ben der St. Joseph's Catholic Church vom 7. Ok­tober 2010 bei.</w:t>
      </w:r>
    </w:p>
    <w:p>
      <w:r>
        <w:rPr>
          <w:b/>
        </w:rPr>
        <w:t>E. 3.3</w:t>
      </w:r>
    </w:p>
    <w:p>
      <w:r>
        <w:t>Das BFM führte in seiner Vernehmlassung unter anderem aus, dass es sich bei den erstmals auf Beschwerdeebene erwähnten Dis­kriminierungen aus religiösen Gründen, der (...) am Ar­beitsplatz oder den Schwierigkeiten der Tochter in der Schule nicht um Verfolgung im Sinne von Art. 3 AsylG handle. Im Übrigen verwies es auf seine Erwägungen in der Verfügung vom 28. August 2008, an de­nen es vollumfänglich festhielt.Betreffend die vom Bundesverwaltungsgericht aufgeworfene Frage, weshalb lediglich der Beschwerdeführer und nicht auch seine Ehefrau und die Tochter von der Botschaft angehört worden sei, argumentierte das BFM, dass der Beschwerdeführer sein Heimatland zwar zusam­men mit seiner Familie verlassen möchte, jedoch sämtliche Eingaben im Zusammenhang mit dem Asylverfahren allein unterzeichnet habe, und sich aus den Akten keine Anhaltspunkte ergeben würden, wonach die Beschwerdeführerin und das gemeinsame Kind einreiserelevante Nachteile erlitten respektive ihnen solche gedroht hätten.</w:t>
      </w:r>
    </w:p>
    <w:p>
      <w:r>
        <w:rPr>
          <w:b/>
        </w:rPr>
        <w:t>E. 3.4</w:t>
      </w:r>
    </w:p>
    <w:p>
      <w:r>
        <w:t>In seiner Stellungnahme vom 18. März 2009 hielt der Beschwerde­führer unter anderem fest, dass sich seine Situation aufgrund der aktu­ellen Lage in seinem Heimatland verschärft habe und dass er und sei­ne Familie Opfer von Verfolgung seitens verschiedener Akteure wer­den könne. Die ganzen Vorkommnisse hätten sie sozial isoliert.</w:t>
      </w:r>
    </w:p>
    <w:p>
      <w:r>
        <w:rPr>
          <w:b/>
        </w:rPr>
        <w:t>E. 3.5</w:t>
      </w:r>
    </w:p>
    <w:p>
      <w:r>
        <w:t>In formeller Hinsicht gelangt das Bundesverwaltungsgericht zum Schluss, dass das BFM auf eine Anhörung der Ehefrau des Beschwer­deführers und der Tochter verzichten konnte, da sich aus den gesam­ten Akten - auch nicht aus der Replik vom 18. März 2009 - Hinweise auf deren asylrelevante Verfolgung ergeben und zudem sämtliche Ein­gaben lediglich vom Beschwerdeführer alleine unterzeichnet worden sind. Im Weiteren geht das Bundesverwaltungsgericht davon aus, dass die Vorinstanz das Asylgesuch zu Recht und mit zutreffender Begründung abgewiesen hat und schliesst sich der Ansicht der Vorinstanz an, wo­nach weder von einer konkreten Schutzverweigerung durch die hei­matlichen Behörden noch von einreiserelevanten Bedrohungen seitens der Behörden, den LTTE oder Dritter ausgegangen werden kann. Ge­stützt auf die Ausführungen des Beschwerdeführers ist fest­zustellen, dass er einen Monat nach seiner Entlassung aus der Gefangenschaft der LTTE wieder (...) ist (vgl. vorinstanzli­che Akten A 10 S. 4 und 7) (...). Zwar ergibt sich aus seinen Ausführungen, dass er wiederholt vom "Intelligence Service" befragt worden und dass es bei der Arbeit (...), woraus sich indessen keine asyl- und einreiserelevante Benachteiligungen seitens der hei­matlichen Behörden ergeben. Soweit der Beschwerdeführer weitere Nachteile seitens der LTTE befürchtet, ergibt sich aus den Akten, dass er gemäss eigenen Aussagen keine den LTTE zuzuordnenden Dro­hungen mehr erhalten habe, nachdem er seine Telefonnummer ge­wechselt habe (vgl. A 10 S. 8). Betreffend die geltend gemachte be­gründete Furcht vor Verfolgung ist festzustellen, dass der Krieg zwi­schen der srilankischen Armee und den LTTE im Mai 2009 mit der Nie­derlage der LTTE geendet hat und sich ganz Sri Lanka wieder unter Regierungskontrolle befindet, so dass die entsprechenden Befürchtun­gen des Beschwerdeführers auch aus diesem Grund als unbegründet und nicht einreiserelevant zu qualifizieren sind. Im Übrigen ist festzu­stellen, dass in der Beschwerde nichts weiter vorgebracht wird, was zu einer anderen Einschätzung führen könnte, und es sich erübrigt, auf die weiteren Einzelheiten in der Beschwerdebegründung näher einzu­gehen.</w:t>
      </w:r>
    </w:p>
    <w:p>
      <w:r>
        <w:rPr>
          <w:b/>
        </w:rPr>
        <w:t>E. 3.6</w:t>
      </w:r>
    </w:p>
    <w:p>
      <w:r>
        <w:t>Zusammenfassend ist festzuhalten, dass der Beschwerdeführer keine aktuelle Gefährdung beziehungsweise keine konkreten Hinweise auf eine unmittelbare künftige Verfolgung im Sinne von Art. 3 AsylG darzulegen vermochte. Die geltend gemacht Furcht scheint zudem nicht derart zu sein, dass ihm und seiner Familie der Verbleib im Hei­matland nicht zugemutet werden könnte (vgl. Art. 20 Abs. 2 AsylG). Unter diesen Umständen hat die Vorinstanz das Asyl und die Erteilung der Einreisebewilligung zu Recht verweigert.</w:t>
      </w:r>
    </w:p>
    <w:p>
      <w:r>
        <w:rPr>
          <w:b/>
        </w:rPr>
        <w:t>E. 4</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wären die Verfahrenskosten von Fr. 600.- grund­sätzlich dem Beschwerdeführer aufzuerlegen (Art. 63 Abs. 1 VwVG). Aus verwaltungsökonomischen Gründen und in Anwendung von Art. 6 des Reglements vom 21. Februar 2008 über die Kosten und Entschä­digungen vor dem Bundesverwaltungsgericht (VGKE, SR 173.320.2) ist allerdings auf die Erhebung von diesen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