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E-6932/2016 vom 1. Dezember 2016</w:t>
      </w:r>
    </w:p>
    <w:p>
      <w:r>
        <w:t>Bundesverwaltungsgericht, 2016-12-01, DE</w:t>
      </w:r>
    </w:p>
    <w:p>
      <w:r>
        <w:rPr>
          <w:b/>
        </w:rPr>
        <w:t xml:space="preserve">Quelle: </w:t>
      </w:r>
      <w:r>
        <w:t>https://mcp.opencaselaw.ch/entscheid/bvger_E-6932_2016</w:t>
      </w:r>
    </w:p>
    <w:p>
      <w:r>
        <w:t>FR: TAF E-6932/2016 du 1 décembre 2016</w:t>
      </w:r>
    </w:p>
    <w:p>
      <w:r>
        <w:t>IT: TAF E-6932/2016 del 1 dicembre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w:t>
      </w:r>
    </w:p>
    <w:p>
      <w:r>
        <w:t>Die Beschwerdeführerin stellt einen Sistierungsantrag mit der Begründung, sie habe beim kantonalen Migrationsamt ein Gesuch um Familienzusammenführung eingereicht. Der Richter kann aus Gründen der Zweckmässigkeit das Verfahren aussetzen, insbesondere wenn das Urteil von der Entscheidung in einem anderen Rechtsstreit beeinflusst werden kann (Art. 4 VwVG i.V.m. Art. 6 BZP). Eine Sistierung des Zuständigkeitsverfahrens bis zum Ausgang des Verfahrens betreffend Familienzusammenführung widerspricht dem Zweck der Dublin-III-Verordnung, der darin besteht, die Zuständigkeit möglichst rasch zu bestimmen. Da es der Beschwerdeführerin ohne weiteres zumutbar ist, den Ausgang im zuständigen Staat abzuwarten, ist der Sistierungsantrag abzuweisen.</w:t>
      </w:r>
    </w:p>
    <w:p>
      <w:r>
        <w:rPr>
          <w:b/>
        </w:rPr>
        <w:t>E. 4.1</w:t>
      </w:r>
    </w:p>
    <w:p>
      <w:r>
        <w:t>Die Beschwerdeführerin rügt in mehrfacher Hinsicht eine Verletzung des Anspruchs auf rechtliches Gehör sowie des Untersuchungsgrundsatzes.</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Die Beschwerdeführerin bringt zunächst vor, die Vorinstanz habe das rechtliche Gehör in Form des Akteneinsichtsrechts verletzt, da ihr die Aktenstücke A6/1, A18/3 und A21/2 nicht editiert worden seien. Beim Aktenstück A6/1 (Bericht ID-Abklärung) handelt es sich offensichtlich um eine interne Akte. Die Akte A18/3 (Kontrollblatt) diente nur internen Zwecken, um den Empfang für die Aushändigung der ÖV-Tickets und des Passierscheins zu bestätigen. Diese wurde vom Beschwerdeführer zwar unterschrieben, ihm indessen nicht ausgehändigt. Damit hat dieses Blatt keinen Beweischarakter im vorliegenden Dublin-Verfahren. Dasselbe gilt für Akte A21/2 (DubliNET Proof of Delivery), welche eine automatisch, elektronisch ausgelöste Empfangsbestätigung einer Nachricht der Vorinstanz im elektronischen Dublin-Netzwerk enthält. Da diese nicht Gegenstand des vorliegenden Verfahrens ist, hat sie keinen Beweiswert. Die Vorinstanz hat somit das rechtliche Gehör in Form des Akteneinsichtsrechts nicht verletzt. Auf Gewährung der Akteneinsicht im Beschwerdeverfahren in die erwähnten Aktenstücke ist aus den oben erwähnten Gründen zu verzichten. Die entsprechenden Anträge sind abzuweisen.</w:t>
      </w:r>
    </w:p>
    <w:p>
      <w:r>
        <w:rPr>
          <w:b/>
        </w:rPr>
        <w:t>E. 4.4</w:t>
      </w:r>
    </w:p>
    <w:p>
      <w:r>
        <w:t>Die Beschwerdeführerin beantragt, ihr sei Gelegenheit zu geben, eine Beschwerdeergänzung einzureichen. Die gesetzlichen Voraussetzungen von Art. 53 VwVG zur ergänzenden Beschwerdeschrift (aussergewöhnlicher Umfang, besondere Schwierigkeiten der Beschwerdesache etc.) sind vorliegend offensichtlich nicht erfüllt, weshalb der Antrag abzuweisen ist.</w:t>
      </w:r>
    </w:p>
    <w:p>
      <w:r>
        <w:rPr>
          <w:b/>
        </w:rPr>
        <w:t>E. 4.5</w:t>
      </w:r>
    </w:p>
    <w:p>
      <w:r>
        <w:t>Die Beschwerdeführerin bringt weiter vor, die Vorinstanz habe ihre persönliche Situation mit keinem Wort erwähnt. In Deutschland sei sie nur zur Durchfahrt gewesen. Sie rügt damit implizit eine Verletzung der Begründungspflicht. Die Vorinstanz hat die wesentlichen Überlegungen, von denen sie sich hat leiten lassen, genannt. Die persönliche Situation der Beschwerdeführerin wurde in der angefochtenen Verfügung rechtsgenüglich berücksichtigt. Dass sie Deutschland nur zur Durchreise benutzt habe, ist erstens nicht rechtserheblich und zweitens unwahr, zumal aktenkundig ist, dass sie in Deutschland ein Asylgesuch gestellt hat. Darüber hinaus zeigt die vorliegende Beschwerde, dass eine sachgerechte Anfechtung möglich war. Eine Verletzung der Begründungspflicht liegt nicht vor.</w:t>
      </w:r>
    </w:p>
    <w:p>
      <w:r>
        <w:rPr>
          <w:b/>
        </w:rPr>
        <w:t>E. 4.6</w:t>
      </w:r>
    </w:p>
    <w:p>
      <w:r>
        <w:t>Weiter habe die Vorinstanz nicht gewürdigt, dass sie ihren Ehemann geheiratet habe und diesem in der Schweiz Asyl gewährt worden sei. Hierbei rügt die Beschwerdeführerin jedoch nicht wie vorgebracht eine Verletzung des rechtlichen Gehörs, sondern die Beweiswürdigung der Vorinstanz, was nachfolgend zu prüfen sein wird.</w:t>
      </w:r>
    </w:p>
    <w:p>
      <w:r>
        <w:rPr>
          <w:b/>
        </w:rPr>
        <w:t>E. 4.7</w:t>
      </w:r>
    </w:p>
    <w:p>
      <w:r>
        <w:t>Die Beschwerdeführerin rügt zudem, die Vorinstanz habe die Pflicht zur vollständigen und richtigen Abklärung des rechtserheblichen Sachverhaltes verletzt. Sie hätte weitere Abklärungen hinsichtlich ihrer Gefährdung in Deutschland treffen müssen. Die Vorinstanz hat die Beschwerdeführerin zur Person befragt und ihr das rechtliche Gehör zur Zuständigkeit von Deutschland zur Durchführung des Asyl- und Wegweisungsverfahrens gewährt. Die Beschwerdeführerin substantiiert weiter nicht, inwiefern der Sachverhalt von der Vorinstanz ungenügend festgestellt worden sei beziehungsweise inwiefern ihre Sicherheit in Deutschland nicht gewährleistet sei. Die Notwendigkeit weiterer Abklärungen ist auch nicht ersichtlich, genauso wenig wie eine Gefährdung der Sicherheit der Beschwerdeführerin in Deutschland. Der rechtserhebliche Sachverhalt wurde von der Vorinstanz vorliegend vollständig und richtig festgestellt.</w:t>
      </w:r>
    </w:p>
    <w:p>
      <w:r>
        <w:rPr>
          <w:b/>
        </w:rPr>
        <w:t>E. 4.8</w:t>
      </w:r>
    </w:p>
    <w:p>
      <w:r>
        <w:t>Zusammenfassend liegt weder eine Verletzung des rechtlichen Gehörs noch des Untersuchungsgrundsatzes vor. Für eine Rückweisung der Sache an die Vorinstanz besteht nach dem Gesagten kein Anlass.</w:t>
      </w:r>
    </w:p>
    <w:p>
      <w:r>
        <w:rPr>
          <w:b/>
        </w:rPr>
        <w:t>E. 5.1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(BVGE 2012/4 E. 3.2.1 m.w.H.).</w:t>
      </w:r>
    </w:p>
    <w:p>
      <w:r>
        <w:rPr>
          <w:b/>
        </w:rPr>
        <w:t>E. 5.2</w:t>
      </w:r>
    </w:p>
    <w:p>
      <w:r>
        <w:t>Gemäss Art. 18 Abs. 1 Bst. b Dublin-III-VO ist der zuständige Mitgliedstaat verpflichtet, einen Antragsteller, der während der Prüfung seines Antrages in einem anderen Mitgliedstaat einen Antrag gestellt hat, nach Massgabe der Art. 23, 24, 25 und 29 wieder aufzunehmen</w:t>
      </w:r>
    </w:p>
    <w:p>
      <w:r>
        <w:rPr>
          <w:b/>
        </w:rPr>
        <w:t>E. 5.3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Die Vorinstanz hält in der angefochtenen Verfügung fest, ein Abgleich der Fingerabdrücke mit der Zentraleinheit «Eurodac» habe ergeben, dass die Beschwerdeführerin am 10. August 2016 in Deutschland ein Asylgesuch eingereicht habe. Die deutschen Behörden hätten das Ersuchen der Schweiz um Übernahme der Beschwerdeführerin gestützt auf Art. 18 Abs. 1 Bst. b Dublin-III-VO gutgeheissen. Die Zuständigkeit für die Durchführung des Asyl- und Wegweisungsverfahrens liege somit bei Deutschland. Konkrete Anhaltspunkte, dass Deutschland seinen völkerrechtlichen Verpflichtungen nicht nachkomme, würden keine vorliegen. Im deutschen Asyl- und Aufnahmesystem würden keine systemischen Mängel vorliegen. Die Artikel 9 bis 11 der Dublin-III-VO seien im vorliegenden Wiederaufnahmeverfahren nicht anwendbar und die Voraussetzungen für Art. 8 EMRK würden offensichtlich nicht vorliegen. Für eine Anwendung der Souveränitätsklausel gebe es keine Gründe.</w:t>
      </w:r>
    </w:p>
    <w:p>
      <w:r>
        <w:rPr>
          <w:b/>
        </w:rPr>
        <w:t>E. 6.2</w:t>
      </w:r>
    </w:p>
    <w:p>
      <w:r>
        <w:t>Die Beschwerdeführerin wendet dagegen ein, die Vorinstanz habe die Artikel 9 bis 11 der Dublin-III-VO zu Unrecht nicht angewendet. Ausserdem sei offensichtlich, dass sie und ihr Ehemann eine dauerhafte Beziehung führen würden. Zudem hätte die Vorinstanz von der Möglichkeit des Selbsteintritts aus humanitären Gründen Gebrauch machen sollen. Insgesamt seien die Voraussetzungen für einen Nichteintretensentscheid nicht erfüllt.</w:t>
      </w:r>
    </w:p>
    <w:p>
      <w:r>
        <w:rPr>
          <w:b/>
        </w:rPr>
        <w:t>E. 6.3</w:t>
      </w:r>
    </w:p>
    <w:p>
      <w:r>
        <w:t>Ein Abgleich der Personendaten der Beschwerdeführerin mit der «Eurodac»-Datenbank ergab, dass sie am 10. August 2016 in Deutschland ein Asylgesuch gestellt hatte. Das vorliegend zu behandelnde Gesuch vom 5. September 2016 ist das zweite Asylgesuch der Beschwerdeführerin in einem Dublin-Mitgliedstaat. Es handelt sich somit um eine take back-Konstellation, bei der grundsätzlich keine erneute Zuständigkeitsprüfung nach Kapitel III der Dublin-III-VO stattfindet (vgl. BVGE 2012/4 E. 3.2.1 m.w.H.). Auf die entsprechenden Erwägungen in der Beschwerdeschrift zur Anwendung von Art. 9 Dublin-III-VO ist folglich nicht weiter einzugehen, zumal Art. 9 Dublin-III-VO von Art. 7 Abs. 3 Dublin-III-VO nicht erfasst wird. Die Vorinstanz stellte bei den deutschen Behörden zu Recht gestützt auf Art. 18 Abs. 1 Bst. b Dublin-III-VO ein Gesuch um Wiederaufnahme der Beschwerdeführerin. Dieses wurde am 26. Oktober 2016 gutgeheissen. Die grundsätzliche Zuständigkeit Deutschlands für die Durchführung des Asylverfahrens ist damit gegeben. Anzeichen für systemische Mängel im Asyl- und Aufnahmeverfahren Deutschlands liegen keine vor, weshalb auch auf die Einholung von individuellen Garantien zu verzichten ist. Der diesbezügliche Antrag ist abzuweisen.</w:t>
      </w:r>
    </w:p>
    <w:p>
      <w:r>
        <w:rPr>
          <w:b/>
        </w:rPr>
        <w:t>E. 6.4</w:t>
      </w:r>
    </w:p>
    <w:p>
      <w:r>
        <w:t>Gemäss ständiger Rechtsprechung des Bundesgerichts kann sich eine Person auf den Schutz des Familienlebens nach Art. 8 EMRK dann berufen, wenn sie sich auf eine Beziehung zu einer Person mit gefestigtem Aufenthaltsrecht in der Schweiz bezieht (vgl. statt vieler BGE 135 I 143, mit weiteren Hinweisen). Unter dem Aspekt von Art. 17 Dublin-III-VO ist Art. 8 EMRK zu berücksichtigen,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beachten sind.</w:t>
      </w:r>
    </w:p>
    <w:p>
      <w:r>
        <w:rPr>
          <w:b/>
        </w:rPr>
        <w:t>E. 6.5</w:t>
      </w:r>
    </w:p>
    <w:p>
      <w:r>
        <w:t>In Übereinstimmung mit den vorinstanzlichen Erwägungen gelangt das Bundesverwaltungsgericht zur Auffassung, dass bei der Beziehung der Beschwerdeführerin zu ihrem angeblichen Ehemann (B._______) nicht von einer dauerhaften Partnerschaft gesprochen werden kann. Gemäss den Angaben der Beschwerdeführerin habe sie ihren Ehemann am (...) geheiratet. An der standesamtlichen Trauung seien beide Ehegatten nicht anwesend gewesen. Dies habe ein Anwalt für sie erledigt. Im (...) hätten sie religiös geheiratet. Auch bei dieser Trauung seien sie beide nicht zugegen gewesen. Ihre Eltern hätten dies mit einem Imam erledigt. Die Trauung sei telefonisch durchgeführt worden. Sie habe ihren Ehemann online kennengelernt und sie hätten via Messenger-Dienste und auch telefonisch Kontakt gehabt. Im (...) sei er sie für eine Woche in der Türkei besuchen gekommen (SEM-Akten, A11/14 S. 3 ff.). Die Beschwerdeführerin und ihr angeblicher Ehemann haben somit noch nie zusammen gewohnt, führen keinen gemeinsamen Haushalt und sind finanziell nicht verflochten. Auch besteht die angebliche Bindung erst seit kurzem. Unter diesen Umständen kann offensichtlich nicht auf eine gefestigte Beziehung geschlossen werden. Somit kann offen gelassen werden, ob die Ehe zwischen der Beschwerdeführerin und ihrem angeblichen Ehemann gültig geschlossen und amtlich registriert worden ist. Die Kriterien der Rechtsprechung für eine Berufung auf Art. 8 EMRK sind ohnehin nicht erfüllt. Nach dem Gesagten ist die Überstellung der Beschwerdeführerin nach Deutschland mit Art. 8 EMRK vereinbar und es besteht kein Grund für eine Anwendung der Ermessensklausel von Art. 17 Dublin-III-VO. Aus der eingereichten Hochzeitseinladung und den Fotos ihres Hochzeitsfestes kann die Beschwerdeführerin nichts zu ihren Gunsten ableiten.</w:t>
      </w:r>
    </w:p>
    <w:p>
      <w:r>
        <w:rPr>
          <w:b/>
        </w:rPr>
        <w:t>E. 6.6</w:t>
      </w:r>
    </w:p>
    <w:p>
      <w:r>
        <w:t>Schliesslich ist festzuhalten, dass der Vorinstanz bei der Anwendung von Art. 29a Abs. 3 der Asylverordnung 1 vom 11. August 1999 (AsylV 1, SR 142.311) Ermessen zukommt (vgl. BVGE 2015/9 E. 7 f.) und den Akten keine Hinweise auf eine gesetzeswidrige Ermessensausübung (vgl. Art. 106 Abs. 1 Bst. a AsylG) durch die Vorinstanz zu entnehmen sind.</w:t>
      </w:r>
    </w:p>
    <w:p>
      <w:r>
        <w:rPr>
          <w:b/>
        </w:rPr>
        <w:t>E. 6.7</w:t>
      </w:r>
    </w:p>
    <w:p>
      <w:r>
        <w:t>Die Vorinstanz ist somit zutreffend von der Zuständigkeit Deutschlands ausgegangen und in Anwendung Art. 31a Abs. 1 Bst. b AsylG auf das Asylgesuch der Beschwerdeführerin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7</w:t>
      </w:r>
    </w:p>
    <w:p>
      <w:r>
        <w:t>Zusammenfassend verletzt die angefochtene Verfügung kein Bundesrecht und ist auch sonst nicht zu beanstanden (Art. 106 AsylG). Die Beschwerde ist abzuweisen. Die Gesuche um Gewährung der aufschiebenden Wirkung und Vollzugsstopp sind mit dem vorliegenden Entscheid gegenstandslos geworden.</w:t>
      </w:r>
    </w:p>
    <w:p>
      <w:r>
        <w:rPr>
          <w:b/>
        </w:rPr>
        <w:t>E. 8.1</w:t>
      </w:r>
    </w:p>
    <w:p>
      <w:r>
        <w:t>Die Beschwerdeführerin beantragt die Gewährung der unentgeltlichen Prozessführung gemäss Art. 65 Abs. 1 VwVG. Aufgrund der vorstehenden Erwägungen ergibt sich, dass ihre Begehren als aussichtslos zu gelten haben. Damit ist eine der kumulativ zu erfüllenden Voraussetzungen nicht gegeben, weshalb dem Gesuch nicht stattzugeben ist.</w:t>
      </w:r>
    </w:p>
    <w:p>
      <w:r>
        <w:rPr>
          <w:b/>
        </w:rPr>
        <w:t>E. 8.2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