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E-691/2017 vom 20. April 2017</w:t>
      </w:r>
    </w:p>
    <w:p>
      <w:r>
        <w:t>Bundesverwaltungsgericht, 2017-04-20, DE</w:t>
      </w:r>
    </w:p>
    <w:p>
      <w:r>
        <w:rPr>
          <w:b/>
        </w:rPr>
        <w:t xml:space="preserve">Quelle: </w:t>
      </w:r>
      <w:r>
        <w:t>https://mcp.opencaselaw.ch/entscheid/bvger_E-691_2017</w:t>
      </w:r>
    </w:p>
    <w:p>
      <w:r>
        <w:t>FR: TAF E-691/2017 du 20 avril 2017</w:t>
      </w:r>
    </w:p>
    <w:p>
      <w:r>
        <w:t>IT: TAF E-691/2017 del 20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der Beschwerdeführerin die unentgeltliche Rechtspflege (Art. 65 Abs. 1 VwVG) gewährt wird (vgl. unten, E. 7), die Beschwerde also als nicht aussichtslos zu qualifizieren ist,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4.1</w:t>
      </w:r>
    </w:p>
    <w:p>
      <w:r>
        <w:t>Die Vorinstanz begründet ihren Entscheid damit, die Verwarnungen und der Verweis von der Schule sowie die illegale Ausreise aus Eritrea seien nicht asylrelevant. Die Inhaftierung der Mutter der Beschwerdeführerin ändere nichts daran, da die Mutter nach einer Woche wieder freigelassen worden sei und ihre Familie danach keine Probleme mehr gehabt habe.</w:t>
      </w:r>
    </w:p>
    <w:p>
      <w:r>
        <w:rPr>
          <w:b/>
        </w:rPr>
        <w:t>E. 4.2</w:t>
      </w:r>
    </w:p>
    <w:p>
      <w:r>
        <w:t>Die Beschwerdeführerin bringt vor, sie habe Eritrea illegal verlassen. Illegal ausgereiste eritreische Staatsangehörige würden vom eritreischen Regime als Staatsfeinde angesehen und müssten im Falle einer Rückkehr mit drakonischen Strafen rechnen, weshalb ihr bei einer Rückkehr in die Heimat ernsthafte Nachteile drohen würden. Sie erfülle somit die Flüchtlingseigenschaft.</w:t>
      </w:r>
    </w:p>
    <w:p>
      <w:r>
        <w:rPr>
          <w:b/>
        </w:rPr>
        <w:t>E. 4.3</w:t>
      </w:r>
    </w:p>
    <w:p>
      <w:r>
        <w:t>Die Vorinstanz hat zu Recht festgestellt, dass die Verwarnungen durch die Schule und der Schulverweis keinen Asylgrund darstellen. Die Frage der Zulässigkeit der Praxisänderung der Vorinstanz bezüglich der flüchtlingsrechtlichen Beurteilung der illegalen Ausreise aus Eritrea ist vom Bundesverwaltungsgericht im genannten Koordinationsverfahren mittlerweile geklärt worden. Das Gericht kommt zum Schluss, dass allein aufgrund einer illegalen Ausreise keine begründete Furcht vor asylrechtlich beachtlicher Verfolgung angenommen werden kann (ausführlich dazu Urteil D-7898/2015, E. 4.6-5.1 [vgl. oben, E. 3.3]). Weitere Anknüpfungspunkte, welche die Beschwerdeführerin in den Augen des eritreischen Regimes als missliebige Person erscheinen lassen beziehungsweise zu einer Schärfung des Profils und dadurch zu einer flüchtlingsrechtlich relevanten Verfolgungsgefahr führen könnten, sind nicht erkennbar. Somit ist vorliegend nicht von einer asylrechtlich beachtlichen Verfolgung auszugehen.</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29. Dezember 2016 die vorläufige Aufnahme der Beschwerdeführerin in der Schweiz angeordnet. Demnach erübrigen sich praxisgemäss Ausführungen zur Zulässigkeit, Zumutbarkeit und Möglichkeit des Wegweisungsvollzugs.</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der Beschwerdeführerin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weshalb das Gesuch um Gewährung der unentgeltlichen Rechtspflege (Art. 65 Abs. 1 VwVG) in Anbetracht ihrer gemäss Aktenlage ausgewiesenen prozessualen Bedürftigkeit gutzuheissen ist. Dementsprechend verzichtet das Gericht auf die Erhebung von Verfahrenskosten.</w:t>
      </w:r>
    </w:p>
    <w:p>
      <w:r>
        <w:rPr>
          <w:b/>
        </w:rPr>
        <w:t>E. 7.2</w:t>
      </w:r>
    </w:p>
    <w:p>
      <w:r>
        <w:t>Demgemäss ist auch das Gesuch um Beiordnung einer amtlichen Rechtsbeiständin gestützt auf Art. 110a Abs. 1 AsylG gutzuheissen. Die Rechtsvertreterin hat keine Kostennote eingereicht. Der Aufwand lässt sich allerdings aufgrund der Akten zuverlässig abschätzen (Art. 14 Abs. 2 VGKE). In Anwendung der massgeblichen Bemessungsfaktoren (vgl. Art. 12 i.V.m. Art. 8-11 VGKE) ist Rechtsanwältin lic. iur. Linda Keller für ihre Bemühungen zu Lasten des Gerichts ein amtliches Honorar von Fr. 650.-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