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E-6917/2015 vom 17. November 2015</w:t>
      </w:r>
    </w:p>
    <w:p>
      <w:r>
        <w:t>Bundesverwaltungsgericht, 2015-11-17, DE</w:t>
      </w:r>
    </w:p>
    <w:p>
      <w:r>
        <w:rPr>
          <w:b/>
        </w:rPr>
        <w:t xml:space="preserve">Quelle: </w:t>
      </w:r>
      <w:r>
        <w:t>https://mcp.opencaselaw.ch/entscheid/bvger_E-6917_2015</w:t>
      </w:r>
    </w:p>
    <w:p>
      <w:r>
        <w:t>FR: TAF E-6917/2015 du 17 novembre 2015</w:t>
      </w:r>
    </w:p>
    <w:p>
      <w:r>
        <w:t>IT: TAF E-6917/2015 del 17 novembre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Der Beschwerdeführer gibt an, sowohl die senegalesische als auch die malische Staatsbürgerschaft zu besitzen. Er lebte vor seiner Ausreise im Senegal und kam von dort aus in die Schweiz. Vorliegend ist daher einzig zu prüfen, ob die vorinstanzliche Verfügung in Bezug auf den Senegal Bundesrecht verletzt. Auf die Ausführungen der Vorinstanz sowie des Beschwerdeführers zu Mali wird deshalb nicht weiter eingegangen.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Der Beschwerdeführer ist Staatsangehöriger von Senegal. Der Bundesrat hat mit Beschluss vom 5. Oktober 1993 den Senegal als verfolgungssicheren Staat im Sinne von Art. 6a Abs. 2 Bst. a AsylG bezeichnet und ist seither auf diese Einschätzung nicht zurückgekommen (Art. 6a Abs. 3 AsylG). Die gesetzliche Regelvermutung besteht somit darin, dass eine asylrelevante staatliche Verfolgung im betreffenden Staat nicht besteht und Schutz vor nichtstaatlicher Verfolgung gewährleistet ist. Diese Vermutung kann im Einzelfall aufgrund konkreter und substantiierter Hinweise umgestossen werden.</w:t>
      </w:r>
    </w:p>
    <w:p>
      <w:r>
        <w:rPr>
          <w:b/>
        </w:rPr>
        <w:t>E. 4.1</w:t>
      </w:r>
    </w:p>
    <w:p>
      <w:r>
        <w:t>Die Vorinstanz kommt in der angefochtenen Verfügung zum Schluss, die Vorbringen des Beschwerdeführers würden den Anforderungen an die Flüchtlingseigenschaft nach Art. 3 AsylG nicht standhalten, weshalb auf eine nähere Auseinandersetzung mit den Unstimmigkeiten unter dem Gesichtspunkt von Art. 7 AsylG verzichtet werde. Der Bundesrat habe den Senegal als sicheren Heimat- und Herkunftsstaat bezeichnet. Es könne deshalb davon ausgegangen werden, dass bei einer eventuellen Rückkehr nach Senegal, die Behörden sehr wohl die nötigen Massnahmen zum Schutz des Beschwerdeführers treffen würden.</w:t>
      </w:r>
    </w:p>
    <w:p>
      <w:r>
        <w:rPr>
          <w:b/>
        </w:rPr>
        <w:t>E. 4.2</w:t>
      </w:r>
    </w:p>
    <w:p>
      <w:r>
        <w:t>Der Beschwerdeführer wendet dagegen ein, Senegal sei kein "Safe Country", wie das Vorgehen des neuen Regimes gegen Karim Wade zeige. Die Vorinstanz präzisiere nicht, in welchen essentiellen Punkten er sich widersprochen habe. Ausserdem spreche die Vorinstanz in der Verfügung vom Nichteintreten, weise sein Gesuch jedoch im Dispositiv ab.</w:t>
      </w:r>
    </w:p>
    <w:p>
      <w:r>
        <w:rPr>
          <w:b/>
        </w:rPr>
        <w:t>E. 4.3</w:t>
      </w:r>
    </w:p>
    <w:p>
      <w:r>
        <w:t>Der vorinstanzliche Schluss ist indes nicht zu beanstanden. Mit seinen Vorbringen kann der Beschwerdeführer weder die vom Bundesrat vorgenommene Qualifikation des Senegals als "Safe Country", noch die Vermutung der Verfolgungssicherheit widerlegen. Der Beschwerdeführer übersieht, dass die Vorinstanz sein Asylgesuch nicht aufgrund der Unglaubhaftigkeit seiner Aussagen ablehnt, sondern aufgrund dessen, dass er die Vermutung der Verfolgungssicherheit in seinem Fall nicht mit konkreten und substantiierten Hinweisen umzustossen vermag. Hierzu liegt einzig ein Schreiben des Beschwerdeführers an den "Procureur Général" vom 2. September 2013 (SEM-Akten, A19/22 F102 ff. und S. 18) vor, indem der Beschwerdeführer schildert, dass er Drohnachrichten auf sein Telefon erhalte, von bewaffneten Männern verfolgt werde und sein Haus durchsucht worden sei. Hinweise, dass der Beschwerdeführer weitergehende Massnahmen gegen die erwähnten Vorkommnisse - deren Vorliegen im Übrigen aufgrund der äusserst unglaubhaften Aussagen des Beschwerdeführers zweifelhaft ist - getroffen hätte, sind den Akten keine zu entnehmen. Die Beschwerde bringt diesbezüglich nichts vor. Damit bleibt es dabei, dass Senegal als sicherer Heimat- und Herkunftsstaat gilt (Art. 6a Abs. 2 Bst. a AsylG) und dem Beschwerdeführer Sicherheit vor Verfolgung bieten kann. Die Vorinstanz verweist in der Begründung ihrer Verfügung aus unbekannte Gründen einerseits inhaltlich auf eine nicht mehr in Kraft stehende Bestimmung des Asylgesetzes (aArt 34 AsylG: Nichteintreten bei Asylgesuchen aus verfolgungssicheren Staaten; vgl. angefochtene Verfügung S. 2 unten); andererseits wird Mali als sicherer Drittstaat erwähnt, obwohl der Beschwerdeführer Staatsangehöriger (auch) von Mali ist (vgl. Verfügung S. 3). Diese Argumentationsweise ist zwar in der Tat verwirrend (vgl. Beschwerde S. 3). Für die beantragte Rückweisung in der Sache an das SEM besteht jedoch keine Veranlassung, weil die Vorinstanz mit Bezug auf das zweite Heimatland, Senegal, im Ergebnis richtig entschieden hat und die Frage einer Rückkehr des Beschwerdeführers nach Mali, wie oben erwähnt (vgl. E. 2.2) deshalb inhaltlich nicht weiter thematisiert werden muss.</w:t>
      </w:r>
    </w:p>
    <w:p>
      <w:r>
        <w:rPr>
          <w:b/>
        </w:rPr>
        <w:t>E. 4.4</w:t>
      </w:r>
    </w:p>
    <w:p>
      <w:r>
        <w:t>Zusammenfassend ist festzustellen, dass es dem Beschwerdeführer nicht gelungen ist, die Vermutung der Verfolgungssicherheit im Senegal umzustossen. Die Vorinstanz hat sein Asylgesuch zu Recht abgelehnt.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Vorinstanz hat die Wegweisung demnach zu Recht verfügt.</w:t>
      </w:r>
    </w:p>
    <w:p>
      <w:r>
        <w:rPr>
          <w:b/>
        </w:rPr>
        <w:t>E. 6.1</w:t>
      </w:r>
    </w:p>
    <w:p>
      <w:r>
        <w:t>Der Vollzug der Wegweisung ist nach Art. 83 Abs. 3 AuG (SR 142.20)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des Beschwerdeführers und den Akten ergeben sich keine konkreten Anhaltspunkte dafür, dass er für den Fall einer Ausschaffung in den Senegal dort mit beachtlicher Wahrscheinlichkeit einer nach Art. 3 EMRK oder Art. 1 FoK verbotenen Strafe oder Behandlung ausgesetzt wäre. Der Vollzug der Wegweisung ist zulässig.</w:t>
      </w:r>
    </w:p>
    <w:p>
      <w:r>
        <w:rPr>
          <w:b/>
        </w:rPr>
        <w:t>E. 6.2</w:t>
      </w:r>
    </w:p>
    <w:p>
      <w:r>
        <w:t>Der Vollzug der Wegweisung kann nach Art. 83 Abs. 4 AuG unzumutbar sein, wenn der Ausländer oder die Ausländerin im Heimat- oder Herkunftsstaat auf Grund von Situationen wie Krieg, Bürgerkrieg, allgemeiner Gewalt und medizinischer Notlage konkret gefährdet sind. Im Senegal herrscht kein Bürgerkrieg und keine Situation allgemeiner Gewalt. Auch besteht kein Grund zur Annahme, der Beschwerdeführer gerate im Falle einer Rückkehr aus individuellen Gründen wirtschaftlicher, sozialer oder gesundheitlicher Natur in eine existenzbedrohende Situation. Der Vollzug erweist sich als zumutbar.</w:t>
      </w:r>
    </w:p>
    <w:p>
      <w:r>
        <w:rPr>
          <w:b/>
        </w:rPr>
        <w:t>E. 6.3</w:t>
      </w:r>
    </w:p>
    <w:p>
      <w:r>
        <w:t>Nach Art. 83 Abs. 2 AuG ist der Wegweisungsvollzug schliesslich auch als möglich zu bezeichnen. Es obliegt dem Beschwerdeführer, sich bei der zuständigen Vertretung seines Heimatlandes die für eine Rückkehr notwendigen Reisedokumente zu beschaffen (vgl. Art. 8 Abs. 4 AsylG und dazu BVGE 2008/34 E. 12).</w:t>
      </w:r>
    </w:p>
    <w:p>
      <w:r>
        <w:rPr>
          <w:b/>
        </w:rPr>
        <w:t>E. 6.4</w:t>
      </w:r>
    </w:p>
    <w:p>
      <w:r>
        <w:t>Zusammenfassend hat die Vorinstanz den Wegweisungsvollzug zu Recht als zulässig, zumutbar und möglich erachtet. Die Anordnung einer vorläufigen Aufnahme fällt damit ausser Betracht (Art. 83 Abs. 1-4 AuG).</w:t>
      </w:r>
    </w:p>
    <w:p>
      <w:r>
        <w:rPr>
          <w:b/>
        </w:rPr>
        <w:t>E. 7</w:t>
      </w:r>
    </w:p>
    <w:p>
      <w:r>
        <w:t>Aus diesen Erwägungen ergibt sich, dass die angefochtene Verfügung Bundesrecht nicht verletzt und auch sonst nicht zu beanstanden ist (Art. 106 AsylG). Für eine Rückweisung der Sache an die Vorinstanz besteht nach dem Gesagten kein Anlass. Die Beschwerde ist abzuweisen.</w:t>
      </w:r>
    </w:p>
    <w:p>
      <w:r>
        <w:rPr>
          <w:b/>
        </w:rPr>
        <w:t>E. 8.1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um Gewährung der unentgeltlichen Prozessführung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Das Gesuch um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