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E-6912/2025 vom 3. Oktober 2025</w:t>
      </w:r>
    </w:p>
    <w:p>
      <w:r>
        <w:t>Bundesverwaltungsgericht, 2025-10-03, DE</w:t>
      </w:r>
    </w:p>
    <w:p>
      <w:r>
        <w:rPr>
          <w:b/>
        </w:rPr>
        <w:t xml:space="preserve">Quelle: </w:t>
      </w:r>
      <w:r>
        <w:t>https://mcp.opencaselaw.ch/entscheid/bvger_E-6912_2025</w:t>
      </w:r>
    </w:p>
    <w:p>
      <w:r>
        <w:t>FR: TAF E-6912/2025 du 3 octobre 2025</w:t>
      </w:r>
    </w:p>
    <w:p>
      <w:r>
        <w:t>IT: TAF E-6912/2025 del 3 ottobre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E-6912/2025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führte in ihrem Entscheid im Asylpunkt Folgendes aus: Montenegro gelte als verfolgungssicherer Staat (Safe Country), weshalb die Regelvermutung gelte, wonach die Behörden in Montenegro bereit und in der Lage seien, gegen Bedrohungen oder Übergriffe von Dritten vorzu- gehen und eine effektive Schutzinfrastruktur bestehe. Es sei der Beschwer- deführerin ungeachtet der geltend gemachten guten Beziehungen des Ex- Mannes zu den heimatlichen Behörden nicht gelungen, die Regelvermu- tung nach Art. 6a Abs. 2 Bst. a AsylG umzustossen. Sie habe die Gewalt- anwendung seitens montenegrinischer Behördenvertreter zur Anzeige bringen können und mehrere Richter seien in den Verfahren zwischen ihr und ihrem Ex-Mann aufgrund persönlicher Beziehungen zu ihm in den Aus- stand getreten. Es sei ihr nicht gelungen, die angeblichen Verbindungen des Ex-Mannes und dessen Möglichkeit der Einflussnahme auf Gerichts- entscheide aufzuzeigen Sodann seien die juristischen Verfahren gemäss ihren Aussagen und den Akten bisher nicht rechtskräftig abgeschlossen. Folglich stehe ihr der Rechtsweg offen und sie habe ihre juristischen Mög- lichkeiten in der Heimat – und damit auch die Schutzfähigkeit und den Schutzwillen der heimatlichen Behörden – bisher nicht ausgeschöpft. In Bezug auf das Kindeswohl stünden ihnen in der Heimat im Falle einer (be- legten) Kindswohlgefährdung weiterhin verschiedene straf- und zivilrecht- liche Möglichkeiten offen. Das Asylrecht diene nicht dazu, erlittenes Un- recht wiedergutzumachen beziehungsweise jegliches ausserhalb der Schweiz drohende Unrecht zu verhindern. Auch gelinge es keinem Staat, seinen Bewohnern hundertprozentigen Schutz zu bieten.</w:t>
      </w:r>
    </w:p>
    <w:p>
      <w:r>
        <w:t>E-6912/2025 Seite 7 Den eingereichten Beweismitteln könne nicht entnommen werden, dass gegen sie ein Verfahren eingeleitet worden wäre, um ihr die Tochter weg- zunehmen. Auch könne sie die Gewaltandrohungen beziehungsweise Morddrohungen seitens ihres Ex-Mannes jederzeit bei den heimatlichen Behörden zur Anzeige bringen, was sie bisher nicht getan habe. Weiter habe sie die ihr drohende (…)-tägige Haftstrafe aufgrund der Verweigerung des Besuchsrechts weder mit Beweismitteln belegt noch habe sie eindeu- tig ausgesagt, dass diese Verurteilung rechtskräftig sei.</w:t>
      </w:r>
    </w:p>
    <w:p>
      <w:r>
        <w:rPr>
          <w:b/>
        </w:rPr>
        <w:t>E. 5.2</w:t>
      </w:r>
    </w:p>
    <w:p>
      <w:r>
        <w:t>In der Beschwerde machen die Beschwerdeführerinnen zunächst gel- tend, dass sich die politische Lage in Montenegro mit dem Regierungs- wechsel im Jahr 2020 erheblich verändert habe. Die damalige Einstufung des Landes als «sicherer Herkunftsstaat» entspreche nicht mehr der heu- tigen Realität. Verschiedene Berichte bestätigten fortbestehende Defizite im Bereich der Rechtstaatlichkeit und Korruptionsbekämpfung. Die Be- schwerdeführerin sei Anhängerin der DPS (Demokratische Partei der So- zialisten Montenegros), die für einen pro-europäischen Kurs stehe und im Gegensatz zu den serbisch orientierten Kräften klare politische Gegen- sätze vertrete. Ihre Parteizugehörigkeit verstärke das Konfliktpotenzial mit ihrem Ex-Mann, der durch seine Nähe zu serbisch orientierten Netzwerken und seine Stellung im (…) erheblichen Einfluss ausübe. Sie habe nachvoll- ziehbar dargelegt, dass er durch familiäre Netzwerke und politische Bezie- hungen zu einem (…) im montenegrinischen (…) gelangt sei. Es sei ihr nicht zuzumuten, Schutz bei den heimatlichen Behörden zu suchen. Ihre Zugehörigkeit zur DPS erhöhe das Risiko, dass serbisch orientierte Behör- denvertreter ihre Schutzgesuche nicht ernsthaft prüften oder gar gegen sie verwendeten. Die politische Machstellung des Ex-Mannes und seine Ver- ankerung im serbisch-nationalistischen Lager liessen erwarten, dass Ver- fahren verschleppt oder eingestellt würden und staatliche Institutionen nicht unabhängig handelten. Im konkreten Fall fehle es daher an effektiver Schutzfähigkeit. Hierbei sei unerheblich, ob der innerstaatliche Instanzen- zug ausgeschöpft oder eine Anzeige wegen Kindesentführung erfolgt sei. Die Verfolgung beziehungsweise die mangelnde Schutzfähigkeit der mon- tenegrinischen Behörden beruhe auf einem asylrelevanten politischen Mo- tiv im Sinne von Art. 3 AsylG.</w:t>
      </w:r>
    </w:p>
    <w:p>
      <w:r>
        <w:rPr>
          <w:b/>
        </w:rPr>
        <w:t>E. 6.1</w:t>
      </w:r>
    </w:p>
    <w:p>
      <w:r>
        <w:t>Nach Prüfung der Akten gelangt das Bundesverwaltungsgericht zum Schluss, dass die angefochtene Verfügung zu stützen ist. Die Vorinstanz ist darin mit im Resultat überzeugender Begründung zum Schluss gelangt, dass die Vorbringen der Beschwerdeführerin nicht geeignet sind, die</w:t>
      </w:r>
    </w:p>
    <w:p>
      <w:r>
        <w:t>E-6912/2025 Seite 8 Regelvermutung nach Art. 6a Abs. 2 Bst. a AsylG umzustossen und die Flüchtlingseigenschaft zu begründen. Die knappe Beschwerde vermag nicht zu einer anderen Einschätzung zu führen, zumal sie sich in weiten Teilen in einfachen Gegenbehauptungen und Spekulationen erschöpft. Zur Vermeidung von Wiederholungen kann daher mit den nachfolgenden Er- wägungen auf die zutreffenden Ausführungen der Vorinstanz in der ange- fochtenen Verfügung (dort Ziff. II) verwiesen werden.</w:t>
      </w:r>
    </w:p>
    <w:p>
      <w:r>
        <w:rPr>
          <w:b/>
        </w:rPr>
        <w:t>E. 6.2</w:t>
      </w:r>
    </w:p>
    <w:p>
      <w:r>
        <w:t>Die Ausführungen in der Beschwerde zur behaupteten erheblichen Ver- änderung der politischen Lage in Montenegro seit dem Regierungswechsel im Jahr 2020 ändern nichts am Umstand, dass Montenegro zu den verfol- gungssicheren Heimat- oder Herkunftsstaaten (vgl. Anhang 2 der AsylV1, SR 142.311) zählt, was vom Bundesrat periodisch überprüft wird (Art. 6a Abs. 2 und 3 AsylG). Diese Regelvermutung kann im Einzelfall aufgrund konkreter und substanziierter Hinweise umgestossen werden – dies gelingt den Beschwerdeführerinnen nicht.</w:t>
      </w:r>
    </w:p>
    <w:p>
      <w:r>
        <w:rPr>
          <w:b/>
        </w:rPr>
        <w:t>E. 6.2.1</w:t>
      </w:r>
    </w:p>
    <w:p>
      <w:r>
        <w:t>Vorliegend lassen sich den Vorbringen zum einen keine konkreten Hinweise auf ein Verfolgungsmotiv im Sinne von Art. 3 AsylG entnehmen. Die diesbezügliche Beschwerdeargumentation, wonach die Beschwerde- führerin als Anhängerin respektive Mitglied der DPS aus politischen Grün- den keinen Schutz erhalte, zumal ihr Ex-Mann eine hohe Stelle im (…) be- kleide und über erheblichen Einfluss auf die derzeitigen Machthaber ver- füge, überzeugt klar nicht. Es handelt sich hierbei um reine Behauptungen ohne belastbare Aktengrundlage. Die angeblich hohe Stellung des Ex- Mannes ist weder belegt noch glaubhaft – an der Anhörung wusste sie hierzu nichts zu berichten und gab lediglich an, dies «von irgendwelchen Leuten» gehört zu haben (vgl. act. 3 F47, F49). Den eingereichten Beweis- mitteln lassen sich weiter keine Hinweise darauf entnehmen, dass die mon- tenegrinischen Behörden – insbesondere die Gerichte und Vollzugsbehör- den – im Rahmen des Streits um das Besuchsrecht des Kindsvaters will- kürlich respektive aus politischen oder anderen flüchtlingsrechtlich relevan- ten Gründen zum Nachteil der Beschwerdeführerin handelten oder han- deln werden.</w:t>
      </w:r>
    </w:p>
    <w:p>
      <w:r>
        <w:rPr>
          <w:b/>
        </w:rPr>
        <w:t>E. 6.2.2</w:t>
      </w:r>
    </w:p>
    <w:p>
      <w:r>
        <w:t>Darüber hinaus sind den Akten keine Hinweise darauf zu entnehmen, dass die montenegrinischen Behörden im vorliegenden Fall nicht schutz- fähig und/oder schutzwillig sind. Den eingereichten Beweismitteln ist zu entnehmen, dass einzelne mit dem Besuchsrechtsverfahren zwischen der Beschwerdeführerin und ihrem Ex-Mann befasste Richterinnen und Rich- ter aufgrund einer (indirekten) Bekanntschaft mit ihrem Ex-Mann –</w:t>
      </w:r>
    </w:p>
    <w:p>
      <w:r>
        <w:t>E-6912/2025 Seite 9 entgegen der Feststellung in der angefochtenen Verfügung – nicht erst (aber immerhin) auf ihre Intervention hin in den Ausstand getreten sind, sondern von sich aus Ausstandsgründe erkannt haben (vgl. Entscheide des Gerichts in D._______ betreffend Richter F._______ vom (…) 2024 und Richter G._______ vom (…) 2025, act. 2 ID-003 bzw. ID-015 sowie Entscheid betreffend Richterin H._______ [weder Datum des Entscheids noch Gründe für den Ausstand auf dem eingereichten unvollständigen Aus- schnitt erkennbar], a.a.O. ID-008). Dies spricht klar gegen die behauptete Korruption der Justizbehörden respektive die Einflussnahme ihres Ex-Man- nes auf die mit den Verfahren befassten Gerichte. Sodann wurde der Ex- Mann bereits einmal wegen Gewalt ihr gegenüber respektive wegen «stal- king» verurteilt (vgl. act. 3 F48 sowie unvollständige Übersetzung des Strafurteils, act. 2 ID-018). Beim fluchtauslösenden Ereignis vom (…) 2025 handelte es sich den Beweismitteln zufolge sodann nicht um einen Versuch der Behörden, ihr die Tochter unrechtmässig wegzunehmen und unter Vor- mundschaft zu stellen (vgl. act. 3 F9; Beschwerde S. 3), sondern um den Versuch, dem Kindsvater unter Einsatz von Gerichtspersonen, Gerichts- vollziehern, Psychologen und Sozialarbeitern die Wahrnehmung seines Besuchsrechts basierend auf einem vorangegangenen Urteil (vgl. Be- schwerdebeilage 6b, englische Übersetzung des Urteils des Gerichts in D._______ in der Sache «(…)» vom […] 2025) zu ermöglichen (vgl. act. 2 ID-015, englische Übersetzung der gerichtlichen Besuchsprotokolle Nr. «(…)»). Diesen Vorfall brachte die Beschwerdeführerin gleichentags zur Anzeige bei der Polizei, wo sie sich unter anderem über das grobe Vorge- hen des Gerichtsvollziehers beschwerte (vgl. a.a.O., Anzeige vom (…) 2025). Dem vorgenannten Urteil «(…)» vom (…) 2025 ist ferner zu entneh- men, dass sich das Gericht eingehend mit den Vorwürfen der Beschwer- deführerin gegenüber ihrem Ex-Mann auseinandergesetzt und das Urteil entsprechend gehörig begründet hat. Es liegen keine Hinweise vor, dass die entsprechenden Verfahren rechtsstaatlichen Anforderungen nicht ge- nügen würden oder gar willkürlich wären. Dies gilt auch für die ihr bei einer Rückkehr in die Heimat allenfalls drohenden Haft- oder sonstigen Strafen aufgrund der Vereitelung des Besuchsrechts oder des Verfahrens wegen Kindesentführung. Das Asylrecht kann nicht dazu dienen, sich als unge- recht empfundenen, aber rechtsstaatlich korrekten Behördenentscheiden in der Heimat zu entziehen. Es ist auch nicht Aufgabe des Bundesverwal- tungsgerichts, solche Entscheide im Rahmen eines Asylverfahrens einer Alternativprüfung zu unterziehen. Darüber hinaus stand der Beschwerde- führerin betreffend das Urteil vom (…) 2025 der Rechtsweg offen und es sind ihren Angaben zufolge nach wie vor weitere Verfahren hängig. Damit</w:t>
      </w:r>
    </w:p>
    <w:p>
      <w:r>
        <w:t>E-6912/2025 Seite 10 wurde – wie vom SEM zu Recht festgestellt – der innerstaatliche Instan- zenzug nicht ausgeschöpft.</w:t>
      </w:r>
    </w:p>
    <w:p>
      <w:r>
        <w:rPr>
          <w:b/>
        </w:rPr>
        <w:t>E. 6.3</w:t>
      </w:r>
    </w:p>
    <w:p>
      <w:r>
        <w:t>Demnach ist es der Beschwerdeführerin nicht gelungen, eine Verfol- gung im Sinne von Art. 3 AsylG glaubhaft darzutun. Entsprechend hat das SEM zu Recht die Flüchtlingseigenschaft der Beschwerdeführerinnen ver- neint und deren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E-6912/2025 Seite 11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 führerinnen in den Heimatstaat ist demnach unter dem Aspekt von Art. 5 AsylG rechtmässig.</w:t>
      </w:r>
    </w:p>
    <w:p>
      <w:r>
        <w:rPr>
          <w:b/>
        </w:rPr>
        <w:t>E. 8.2.3</w:t>
      </w:r>
    </w:p>
    <w:p>
      <w:r>
        <w:t>Sodann ergeben sich weder aus den Aussagen der Beschwerdeführerinnen noch aus den Akten Anhaltspunkte dafür, dass die Beschwerdeführerinnen für den Fall einer Ausschaffung nach Montenegro dort mit beachtlicher Wahrscheinlichkeit einer nach Art. 3 EMRK oder Art. 1 FoK verbotenen Strafe oder Behandlung ausgesetzt wären. Gemäss der Praxis des Europäischen Gerichtshofes für Menschenrechte (EGMR) so- wie jener des UN-Anti-Folterausschusses müssten die Beschwerde- führerinnen eine konkrete Gefahr («real risk») nachweisen oder glaubhaft machen, dass ihnen im Fall einer Rückschiebung Folter oder unmenschli- che Behandlung drohen würde (vgl. Urteil des EGMR Saadi gegen Italien vom 28. Februar 2008, Grosse Kammer 37201/06, §§ 124–127 m.w.H.). Nach den vorstehenden Ausführungen ist ihnen dies nicht gelungen. Auch die allgemeine Menschenrechtssituation im Heimatstaat lässt den Wegwei- sungsvollzug zum heutigen Zeitpunkt nicht als unzulässig erscheinen.</w:t>
      </w:r>
    </w:p>
    <w:p>
      <w:r>
        <w:rPr>
          <w:b/>
        </w:rPr>
        <w:t>E. 8.2.4</w:t>
      </w:r>
    </w:p>
    <w:p>
      <w:r>
        <w:t>An dieser Feststellung vermögen auch die Gesundheitsprobleme der Beschwerdeführerinnen nichts zu ändern. Diese sind nicht derart schwer- wiegend, dass von einer Unzulässigkeit im Sinne der restriktiven Recht- sprechung (vgl. BVGE 2011/9 E. 7 mit Hinweisen auf die damalige Praxis des EGMR; Urteil EGMR Paposhvili gegen Belgien 13. Dezember 2016, Grosse Kammer 41738/10, §§ 180–193 m.w.H.) auszugehen ist (vgl. nach- folgend E. 8.3.3).</w:t>
      </w:r>
    </w:p>
    <w:p>
      <w:r>
        <w:rPr>
          <w:b/>
        </w:rPr>
        <w:t>E. 8.2.5</w:t>
      </w:r>
    </w:p>
    <w:p>
      <w:r>
        <w:t>Nach dem Gesagten ist der Vollzug der Wegweisung zulässig.</w:t>
      </w:r>
    </w:p>
    <w:p>
      <w:r>
        <w:rPr>
          <w:b/>
        </w:rPr>
        <w:t>E. 8.3</w:t>
      </w:r>
    </w:p>
    <w:p>
      <w:r>
        <w:t>E-6912/2025 Seite 12</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Der Bundesrat hat Montenegro als Heimat- oder Herkunftsstaat be- zeichnet, in welchem eine Rückkehr in der Regel zumutbar ist (vgl. Art. 83 Abs. 5 AIG i.V.m. Art. 18 und Anhang 2 der Verordnung über den Vollzug der Weg- und Ausweisung sowie der Landesverweisung von ausländi- schen Personen [VVWAL, SR 142.281]). Diese gesetzliche Vermutung kann praxisgemäss durch substanziierte Hinweise umgestossen werden (vgl. etwa Urteil BVGer E-1083/2018 vom 22. Januar 2020 E. 10.4).</w:t>
      </w:r>
    </w:p>
    <w:p>
      <w:r>
        <w:rPr>
          <w:b/>
        </w:rPr>
        <w:t>E. 8.3.3</w:t>
      </w:r>
    </w:p>
    <w:p>
      <w:r>
        <w:t>Das Gericht teilt die Einschätzung der Vorinstanz, dass auch keine individuellen Gründe auf eine konkrete Gefährdung der Beschwerdeführe- rinnen bei einer Rückkehr schliessen lassen. Die gesundheitlichen Beein- trächtigungen lassen nicht auf eine relevante medizinische Notlage schliessen: Die Beschwerdeführerin ist schwanger – die Schwangerschaft wurde als Risikoschwangerschaft qualifiziert (vgl. vorinstanzliche Akten […]-13/2, Arztbericht vom 4. August 2025). Der voraussichtliche Geburtstermin ist im (…). Gemäss dem genannten Arztbericht braucht die Beschwerdeführerin Ruhe und darf keinem psychischen oder physischen Stress ausgesetzt werden. Bei einer – auch schwierigen – Schwangerschaft handelt es sich allenfalls um eine kurzfristige Einschränkung der Reisefähigkeit, sie ver- mag indes nicht zur Annahme einer generellen respektive längerfristigen Unzumutbarkeit des Vollzugs zu führen. Die schweizerischen Behörden, die mit dem Vollzug der angefochtenen Verfügung beauftragt sind, werden den medizinischen Umständen – insbesondere der Schwangerschaft der Beschwerdeführerin – bei der Bestimmung der konkreten Modalitäten und des Termins der Rückführung nach Montenegro angemessen Rechnung tragen. Im Weiteren können allfällige psychische Probleme der Tochter – wie bis- her (vgl. act. 2 ID-004 f.) – auch in Montenegro behandelt werden. Im Übrigen kann auf die zutreffenden Erwägungen in der angefochtenen Verfügung verwiesen werden (vgl. a.a.O. Ziff. III/2).</w:t>
      </w:r>
    </w:p>
    <w:p>
      <w:r>
        <w:rPr>
          <w:b/>
        </w:rPr>
        <w:t>E. 8.3.4</w:t>
      </w:r>
    </w:p>
    <w:p>
      <w:r>
        <w:t>Hinsichtlich des Kindeswohls ist sodann darauf hinzuweisen, dass die Tochter gemeinsam mit der Mutter nach Montenegro zurückkehren</w:t>
      </w:r>
    </w:p>
    <w:p>
      <w:r>
        <w:t>E-6912/2025 Seite 13 wird. Im Falle einer allfälligen Haftstrafe der Beschwerdeführerin ist es so- dann Sache der montenegrinischen Behörden, für angemessene Haftbe- dingungen oder Betreuung zu sorgen. Ebenso liegt es in der Verantwortung der montenegrinischen Behörden, die Vorbringen hinsichtlich einer allfälli- gen Misshandlung der Tochter durch den Kindsvater im Rahmen der dorti- gen Rechtsordnung zu prüfen und wenn nötig entsprechende Schutzmas- snahmen zu ergreifen. Wie vorstehend ausgeführt bestehen keine konkre- ten Hinweise darauf, dass die entsprechenden Verfahren nicht mit der ge- botenen Ernsthaftigkeit geführt oder rechtsstaatlichen Ansprüchen nicht genügen würden. Im Übrigen ist auch hier auf die zutreffenden Erwägun- gen in der angefochtenen Verfügung zu verweisen (vgl. a.a.O. Ziff. III/2).</w:t>
      </w:r>
    </w:p>
    <w:p>
      <w:r>
        <w:rPr>
          <w:b/>
        </w:rPr>
        <w:t>E. 8.3.5</w:t>
      </w:r>
    </w:p>
    <w:p>
      <w:r>
        <w:t>Nach dem Gesagten erweist sich der Vollzug der Wegweisung auch als zumutbar.</w:t>
      </w:r>
    </w:p>
    <w:p>
      <w:r>
        <w:rPr>
          <w:b/>
        </w:rPr>
        <w:t>E. 8.4</w:t>
      </w:r>
    </w:p>
    <w:p>
      <w:r>
        <w:t>Schliesslich verfügen die Beschwerdeführerinnen über gültige heimat- liche Reisepässe,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Für die subeventualiter beantragte Rückweisung der Sache an die Vorinstanz besteht kein Anlass. Die Beschwerde ist abzuweisen.</w:t>
      </w:r>
    </w:p>
    <w:p>
      <w:r>
        <w:rPr>
          <w:b/>
        </w:rPr>
        <w:t>E. 10.1</w:t>
      </w:r>
    </w:p>
    <w:p>
      <w:r>
        <w:t>Aus den vorstehenden Erwägungen ergibt sich, dass die Beschwer- debegehren als aussichtslos bezeichnet werden müssen. Die Vorausset- zungen für die Gewährung der unentgeltlichen Prozessführung und Ver- beiständung sind damit nicht erfüllt und die Gesuche sind ungeachtet der geltend gemachten prozessualen Bedürftigkeit abzuweisen. Das Gesuch um Verzicht auf die Erhebung eines Kostenvorschusses ist mit dem vorlie- genden Urteil gegenstandslos geworden.</w:t>
      </w:r>
    </w:p>
    <w:p>
      <w:r>
        <w:rPr>
          <w:b/>
        </w:rPr>
        <w:t>E. 10.2</w:t>
      </w:r>
    </w:p>
    <w:p>
      <w:r>
        <w:t>Bei diesem Ausgang des Verfahrens sind die Kosten den Beschwerdeführerinnen aufzuerlegen (Art. 63 Abs. 1 VwVG) und auf ins- gesamt Fr. 750.– festzusetzen (Art. 1–3 des Reglements vom 21. Februar</w:t>
      </w:r>
    </w:p>
    <w:p>
      <w:r>
        <w:t>E-6912/2025 Seite 14 2008 über die Kosten und Entschädigungen vor dem Bundesverwaltungs- gericht [VGKE, SR 173.320.2]).</w:t>
      </w:r>
    </w:p>
    <w:p>
      <w:r>
        <w:t>(Dispositiv nächste Seite)</w:t>
      </w:r>
    </w:p>
    <w:p>
      <w:r>
        <w:t>E-6912/2025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