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E-68/2014 vom 8. Januar 2014</w:t>
      </w:r>
    </w:p>
    <w:p>
      <w:r>
        <w:t>Bundesverwaltungsgericht, 2014-01-08, DE</w:t>
      </w:r>
    </w:p>
    <w:p>
      <w:r>
        <w:rPr>
          <w:b/>
        </w:rPr>
        <w:t xml:space="preserve">Quelle: </w:t>
      </w:r>
      <w:r>
        <w:t>https://mcp.opencaselaw.ch/entscheid/bvger_E-68_2014</w:t>
      </w:r>
    </w:p>
    <w:p>
      <w:r>
        <w:t>FR: TAF E-68/2014 du 8 janvier 2014</w:t>
      </w:r>
    </w:p>
    <w:p>
      <w:r>
        <w:t>IT: TAF E-68/2014 del 8 gennaio 2014</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1.2</w:t>
      </w:r>
    </w:p>
    <w:p>
      <w:r>
        <w:t>Soweit der Beschwerdeführer Anträge zum Verfahren stellt - Wiederherstellung der aufschiebenden Wirkung, vorsorgliche Anweisung der zuständigen Behörde, die Kontaktaufnahme mit den Behörden des Heimat- und Herkunftsstaats sowie jegliche Datenweitergabe an dieselben zu unterlassen sowie (eventualiter) bei bereits erfolgter Datenweitergabe darüber in einer separaten Verfügung informiert zu werden -, so ist die Beschwerde mangelhaft, weil es an einer Begründung fehlt (Art. 52 Abs. 1 VwVG). Eine Rückweisung zur Verbesserung des Mangels (Art. 52 Abs. 2 VwVG) kann unterbleiben, weil die verfahrensrechtlichen Anträge mit dem vorliegenden Endentscheid gegenstandslos werden.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(vgl. statt vieler BVGE 2010/57 E. 2.2 und 2.3).</w:t>
      </w:r>
    </w:p>
    <w:p>
      <w:r>
        <w:rPr>
          <w:b/>
        </w:rPr>
        <w:t>E. 3.2</w:t>
      </w:r>
    </w:p>
    <w:p>
      <w:r>
        <w:t>Die Vorinstanz hat den Flüchtlingsbegriff nach Art. 3 AsylG sowie den Massstab des Glaubhaftmachens nach Art. 7 AsylG auf den vorliegenden Fall korrekt angewendet. Sie hat in der angefochtenen Verfügung einlässlich begründet, weshalb der Beschwerdeführer die Flüchtlingseigenschaft nicht erfüllt und seine Vorbringen unsubstantiiert und widersprüchlich sind sowie der allgemeinen Erfahrung respektive der Logik des Handelns widersprechen. Der Beschwerdeführer setzt sich mit der vorinstanzlichen Beweiswürdigung kaum auseinander, sondern wiederholt im Wesentlichen seine erstinstanzlichen Vorbringen. Damit zeigt er weder auf, inwiefern diese Bundesrecht verletzt oder zu einer fehlerhaften Sachverhaltsfeststellung führen soll, noch dass er die Flüchtlingseigenschaft erfüllt. Solches ist auch nicht ersichtlich. Die Vorinstanz stellt zu Recht fest, dass es sich aufgrund der Sachlage um eine Drohung handelt, welcher wirtschaftliche Motive zugrunde liegen und keine Hinweise auf Verfolgungsmotive gemäss Art. 3 AsylG (Rasse, Religion, Nationalität, Zugehörigkeit zu einer bestimmten politischen Gruppe oder politische Anschauungen) vorliegen. Dem Beschwerdeführer wäre es offen gestanden, die lokale Polizei über die Drohung zu informieren. Es gibt keine Anzeichen dafür, dass die albanischen Behörden nicht in der Lage oder willens sind, ausreichend Schutz zu gewähren. Somit kann offen bleiben, ob sich der Sachverhalt gemäss den Vorbringen des Beschwerdeführers abgespielt hat, da dies am Ergebnis nichts ändern könnte. Der Beschwerdeführer hat somit nichts vorgebracht, das geeignet wäre, die Flüchtlingseigenschaft nachzuweisen oder zumindest glaubhaft zu machen. Er erfüllt die Flüchtlingseigenschaft nicht, weshalb das BFM zu Recht das Asylgesuch ablehnte.</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nach Albanien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Albanien noch individuelle Gründe lassen auf eine konkrete Gefährdung im Fall einer Rückkehr des Beschwerdeführers schliessen. Der Beschwerdeführer verfügt, wie die Vorinstanz feststellt, über berufliche Erfahrung im Baugewerbe und in der Landwirtschaft. Zudem befinden sich seine Eltern, sieben Geschwister und zahlreiche weitere Verwandte in Albanien, welche ihn unterstützen können. Der Vollzug der Wegweisung ist somit als zumutbar zu betrachten.</w:t>
      </w:r>
    </w:p>
    <w:p>
      <w:r>
        <w:rPr>
          <w:b/>
        </w:rPr>
        <w:t>E. 5.4</w:t>
      </w:r>
    </w:p>
    <w:p>
      <w:r>
        <w:t>Der Beschwerdeführer verfügt über einen bis 2021 gültigen Reisepass, weshalb der Vollzug der Wegweisung im Sinne von Art. 83 Abs. 2 AuG möglich ist (Art. 8 Abs. 4 AsylG; BVGE 2008/34 E. 12).</w:t>
      </w:r>
    </w:p>
    <w:p>
      <w:r>
        <w:rPr>
          <w:b/>
        </w:rPr>
        <w:t>E. 5.5</w:t>
      </w:r>
    </w:p>
    <w:p>
      <w:r>
        <w:t>Zusammenfassend ist festzuhalten, dass die Vorinstanz den Wegweisungsvollzug zu Recht als zulässig, zumutbar und möglich erachtet.</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Dem Ersuchen des Beschwerdeführers um Gewährung der unentgeltlichen Prozessführung kann nicht entsprochen werden, weil seine Begehren als aussichtslos zu gelten haben (Art. 65 Abs. 1 VwVG). Der Beschwerdeführer hat daher die Kosten des vorliegenden Verfahrens zu tragen (Art. 63 Abs. 1 VwVG), die auf Fr. 600.- festzusetzen sind (Art. 1-3 des Reglements vom 21. Februar 2008 über die Kosten und Entschädigungen vor dem Bundesverwaltungsgericht [VGKE, SR 173.320.2]). Das Gesuch um Verzicht auf die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