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E-689/2023 vom 10. Januar 2023</w:t>
      </w:r>
    </w:p>
    <w:p>
      <w:r>
        <w:t>Bundesverwaltungsgericht, 2023-01-10, DE</w:t>
      </w:r>
    </w:p>
    <w:p>
      <w:r>
        <w:rPr>
          <w:b/>
        </w:rPr>
        <w:t xml:space="preserve">Quelle: </w:t>
      </w:r>
      <w:r>
        <w:t>https://mcp.opencaselaw.ch/entscheid/bvger_E-689_2023_d20230110</w:t>
      </w:r>
    </w:p>
    <w:p>
      <w:r>
        <w:t>FR: TAF E-689/2023 du 10 janvier 2023</w:t>
      </w:r>
    </w:p>
    <w:p>
      <w:r>
        <w:t>IT: TAF E-689/2023 del 10 gennaio 2023</w:t>
      </w:r>
    </w:p>
    <w:p>
      <w:pPr>
        <w:pStyle w:val="Heading2"/>
      </w:pPr>
      <w:r>
        <w:t>Regeste</w:t>
      </w:r>
    </w:p>
    <w:p>
      <w:r>
        <w:t>Asyl und Wegweisung (Wiedererw&amp;auml;gung) | Asyl und Wegweisung (Wiedererwägung); Verfügung des SEM vom 10. Januar 2023</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in der Regel – wie auch vor- 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 unter Vorbehalt von E. 1.4 – einzutreten (Art. 108 Abs. 6 AsylG; Art. 52 Abs. 1 VwVG).</w:t>
      </w:r>
    </w:p>
    <w:p>
      <w:r>
        <w:rPr>
          <w:b/>
        </w:rPr>
        <w:t>E. 1.4</w:t>
      </w:r>
    </w:p>
    <w:p>
      <w:r>
        <w:t>Der Beschwerde kommt von Gesetzes wegen aufschiebende Wirkung zu (Art. 55 VwVG) und diese wurde vorliegend von der Vorinstanz nicht entzogen. Auf den entsprechenden Antrag ist mangels Rechtsschutzinte- resse nicht einzutreten.</w:t>
      </w:r>
    </w:p>
    <w:p>
      <w:r>
        <w:rPr>
          <w:b/>
        </w:rPr>
        <w:t>E. 2</w:t>
      </w:r>
    </w:p>
    <w:p>
      <w:r>
        <w:t>Die Kognition des Bundesverwaltungsgerichts und die zulässigen Rügen richten sich im Asylbereich nach Art. 106 Abs. 1 AsylG, im Bereich des Aus- länderrechts nach Art. 112 Abs. 1 AIG (SR 142.20) i.V.m. Art. 49 VwVG.</w:t>
      </w:r>
    </w:p>
    <w:p>
      <w:r>
        <w:rPr>
          <w:b/>
        </w:rPr>
        <w:t>E. 3</w:t>
      </w:r>
    </w:p>
    <w:p>
      <w:r>
        <w:t>Gestützt auf Art. 111a Abs. 1 AsylG wurde auf die Durchführung eines Schriftenwechsels verzichtet.</w:t>
      </w:r>
    </w:p>
    <w:p>
      <w:r>
        <w:rPr>
          <w:b/>
        </w:rPr>
        <w:t>E. 4</w:t>
      </w:r>
    </w:p>
    <w:p>
      <w:r>
        <w:t>Die Folgegesuche im Asylverfahren sind in Art. 111b AsylG (Wiedererwä- gung) und Art. 111c AsylG (Mehrfachgesuch beziehungsweise neues Asyl- gesuch) geregelt. Die Einordnung, ob ein Folgegesuch als Wiederer-</w:t>
      </w:r>
    </w:p>
    <w:p>
      <w:r>
        <w:t>E-689/2023 Seite 7 wägungsgesuch oder als Mehrfachgesuch zu behandeln ist, richtet sich danach, welchen Teil der ursprünglichen Verfügung die begehrte Neubeur- teilung betrifft. Um ein Mehrfachgesuch handelt es sich, wenn die gesuch- stellende Person geltend macht, sie erfülle aufgrund einer nachträglich ver- änderten Sachlage die Flüchtlingseigenschaft (BVGE 2014/39 E. 4.5 f. m.w.H). Eine Wiedererwägung liegt hingegen vor, wenn ein Gesuch um Neubeurteilung einer rechtskräftigen Asyl- und Wegweisungsverfügung ausschliesslich mit neuen Wegweisungsvollzugshindernissen begründet wird respektive wenn unter dem Aspekt von Wegweisungsvollzugshinder- nissen eine neue Sachlage vorgebracht wird. Ein weiterer Anwendungsbe- reich der Wiedererwägung betrifft die Konstellation, dass die abzuän- dernde Verfügung beim Bundesverwaltungsgericht angefochten und durch dieses materiell beurteilt wurde, die Revision des Urteils aber ausgeschlos- sen ist, weil die geltend gemachten Tatsachen und/oder Beweismittel nach dem Urteil entstanden sind (vgl. Art. 123 Abs. 2 Bst. a [in fine] BGG; BVGE 2013/22 E. 12.3).</w:t>
      </w:r>
    </w:p>
    <w:p>
      <w:r>
        <w:rPr>
          <w:b/>
        </w:rPr>
        <w:t>E. 5.1</w:t>
      </w:r>
    </w:p>
    <w:p>
      <w:r>
        <w:t>Die Vorinstanz gelangt in der angefochtenen Verfügung zum Schluss, der Beschwerdeführer habe weder eine andauernde Gefährdungslage noch eine begründete Furcht vor Verfolgung glaubhaft machen können, weshalb das Wiedererwägungs- und das Mehrfachgesuch abzuweisen sei. Betreffend das Schreiben der Polizeistation von C._______ vom (…) sei festzuhalten, dass solche Dokumente sehr leicht zu fälschen seien und keine fälschungssicheren Merkmale aufweisen würden. Der Beweiswert sei daher gering. Die interne Dokumentenprüfung habe ergeben, dass das vom Beschwerdeführer eingereichte polizeiliche Schreiben mehrere for- male Fehler aufweise. Der Briefkopf entspreche nicht demjenigen von au- thentischen Briefen der sri-lankischen Polizei. Zudem sei die (…) falsch und eine (…) sei nicht ausgefüllt worden. Des Weiteren sei der Brief in einer unüblichen Sprache verfasst worden und die Polizei verwende (…), um Personen vorzuladen. Das Schreiben sei deshalb als Fälschung zu be- zeichnen. Die Erklärungsversuche des Beschwerdeführers im Rahmen des rechtlichen Gehörs vermöchten nicht zu überzeugen, zumal er im We- sentlichen an der Echtheit des Dokuments festhalte. Die weiteren einge- reichten Schreiben vom 5. Dezember 2019 und 5. Mai 2020, welche auf Wunsch der Mutter des Beschwerdeführers ausgestellt worden seien, seien als Gefälligkeitsschreiben zu qualifizieren und hätten deshalb keinen Beweiswert. Gleiches gelte betreffend die Schreiben der Mutter des Be- schwerdeführers vom</w:t>
      </w:r>
    </w:p>
    <w:p>
      <w:r>
        <w:t>E-689/2023 Seite 8 20. Juli 2019 und 30. Januar 2020 sowie ein Schreiben eines Priesters vom</w:t>
      </w:r>
    </w:p>
    <w:p>
      <w:r>
        <w:rPr>
          <w:b/>
        </w:rPr>
        <w:t>E. 5.2</w:t>
      </w:r>
    </w:p>
    <w:p>
      <w:r>
        <w:t>In der Rechtsmitteleingabe macht der Beschwerdeführer geltend, die Vorinstanz habe im letzten Verfahren betreffend das polizeiliche Schreiben auf Vergleichsmaterial hingewiesen, ohne dies konkret zu benennen, wo- mit sie den Anspruch auf rechtliches Gehör verletze. Da kein Vergleichs- material offengelegt worden sei und ein Anwalt in Sri Lanka den Sachver- halt bestätige, werde an der Echtheit des polizeilichen Schreibens festge- halten. Die Vorinstanz habe insbesondere nicht berücksichtigt, dass die Polizei bei der massenhaften Nachforschung nach ehemaligen Verdächti- gen durchaus auch nachlässig arbeite und deren Schreiben dementspre- chend nicht alle offiziellen Merkmale aufweisen würden. Sodann sei die Schlussfolgerung der Vorinstanz, er habe die Verbindung zu G._______ im ordentlichen Verfahren nicht offengelegt, aktenwidrig. Schliesslich wirkten die Fotos der Vorsprache nicht gestellt. Es sei nicht möglich gewesen, die Mutter erkennbar zu fotografieren, da darauf geachtet habe werden müs- sen, dass die Aufnahmen nicht bemerkt würden.</w:t>
      </w:r>
    </w:p>
    <w:p>
      <w:r>
        <w:rPr>
          <w:b/>
        </w:rPr>
        <w:t>E. 6</w:t>
      </w:r>
    </w:p>
    <w:p>
      <w:r>
        <w:t>Juli 2022. Die Fotos von angeblichen Behördenvorsprachen seien eben- falls nicht geeignet, die geltend gemachte Verfolgung zu belegen. Dem ein- gereichten Internetartikel vom 11. April 2014 fehle es an jeglichem Bezug zum Beschwerdeführer. Schliesslich habe er nie vorgebracht, im Jahr 20(…) Verbindungen zu G._______ gehabt zu haben, mit diesem Propa- gandaaktionen zugunsten des tamilischen Separatismus organisiert und tamilische Bürgerkriegsvertriebene finanziell unterstützt zu haben.</w:t>
      </w:r>
    </w:p>
    <w:p>
      <w:r>
        <w:rPr>
          <w:b/>
        </w:rPr>
        <w:t>E. 6.1</w:t>
      </w:r>
    </w:p>
    <w:p>
      <w:r>
        <w:t>Der Beschwerdeführer rügt zunächst eine Verletzung des rechtlichen Gehörs. Diesbezüglich kann vollumfänglich auf die Erwägung 3.2. des Ur- teils E-4501/2020 vom 22. November 2022 verwiesen werden, wonach in- terne Dokumentenanalysen praxisgemäss nicht offen gelegt werden, dem Beschwerdeführer von der Vorinstanz auf Anweisung des Gerichts das rechtliche Gehör gewährt wurde und er dazu Stellung nehmen konnte.</w:t>
      </w:r>
    </w:p>
    <w:p>
      <w:r>
        <w:rPr>
          <w:b/>
        </w:rPr>
        <w:t>E. 6.2</w:t>
      </w:r>
    </w:p>
    <w:p>
      <w:r>
        <w:t>Soweit sich der Beschwerdeführer in der Rechtsmitteleingabe erneut zur Glaubhaftigkeit seiner bisherigen Aussagen äussert, ist festzuhalten, dass diese von der Vorinstanz in der Verfügung vom 26. Februar 2018 als unglaubhaft bewertet wurden, was in der Folge vom Bundesverwaltungs- gericht mit Urteil vom 16. Mai 2019 bestätigt wurde, weshalb darauf nicht weiter einzugehen ist. Mit der Vorinstanz ist sodann festzustellen, dass der Beschwerdeführer mit seinen Ausführungen im Rahmen des Weidererwä- gungsgesuchs keine in entscheidender Hinsicht veränderte Sachlage in</w:t>
      </w:r>
    </w:p>
    <w:p>
      <w:r>
        <w:t>E-689/2023 Seite 9 Bezug auf die Flüchtlingseigenschaft darzutun vermag. Die Ausführungen in der Beschwerde sind nicht geeignet, zu einer von der Vorinstanz abwei- chenden Beurteilung zu führen, zumal sie sich im Wesentlichen darauf be- schränken, auf die angebliche Nachlässigkeit der sri-lankischen Behörden bei der Ausstellung des polizeilichen Schreibens hinzuweisen und an des- sen Echtheit festzuhalten. Zunächst ist festzuhalten, dass der Beschwer- deführer nicht darlegt, weshalb er das polizeiliche Schreiben, welches sei- ner Mutter am 12. August 20(…) zugestellt wurde, erst mit Eingabe vom 6. Juli 2020 – also (…) später – bei der Vorinstanz einreichen konnte. Ferner erweist sich das Vorbringen des Beschwerdeführers, er habe die Verbindung zu G._______, einem hochrangigen Mitglied der LTTE sowie Anführer der Wiederaufbaubewegung, und damit den Grund für das poli- zeiliche Schreiben, bereits im ordentlichen Verfahren geltend macht, als aktenwidrig. Im ordentlichen Verfahren hat der Beschwerdeführer Verbin- dungen zu Personen namens E._______ und F._______ vorgebracht. Er gab an, mit F._______ Protestaktionen organisiert und Plakate aufgehängt zu haben (vgl. SEM-Akten 1016735-17/9 F25 und 1016735-28/18 F6). Er konnte indes kaum Angaben zur Funktion von E._______ und F._______ bei den LTTE machen (vgl. SEM-Akten 1016735-28/18 F21 ff. und F44 ff.). Das Vorbringen, er habe mit G._______, einem hochrangigen Mitglied der LTTE, im Jahr 20(…) Propagandaaktionen zugunsten des tamilischen Se- paratismus organisiert und heimlich tamilische Bürgerkriegsflüchtlinge fi- nanziell unterstützt, wurde von der Vorinstanz demnach zu Recht als nach- geschoben erachtet. Ferner erscheint nicht nachvollziehbar, weshalb die sri-lankischen Behörden eine angeblich seit 20(…) gesuchte Person im Jahr 20(…) erstmals polizeilich vorladen sollten. Die Schreiben der Mutter sind aufgrund deren Verwandtschaftsverhältnis- ses zum Beschwerdeführer von der Vorinstanz zu Recht als Gefälligkeits- schreiben erachtet worden. Die Schreiben eines Anwalts, eines ehemali- gen Parlamentsmitglieds und eines Priesters sind ebenfalls nicht geeignet, ein relevantes Interesse der sri-lankischen Behörden am Beschwerdefüh- rer zu belegen, zumal diese im Auftrag der Mutter des Beschwerdeführers ausgestellt wurden und lediglich deren Erzählungen bestätigen. Gleiches gilt für das auf Beschwerdeebene eingereichte Schreiben eines Anwalts vom 1. Februar 2023. Betreffend die Fotos kann vollumfänglich auf die zu- treffenden Erwägungen der Vorinstanz verwiesen werden. Ferner zeigt der Beschwerdeführer im Rahmen des Mehrfachgesuchs mit den allgemeinen Ausführungen zur Situation in Sri Lanka nicht auf,</w:t>
      </w:r>
    </w:p>
    <w:p>
      <w:r>
        <w:t>E-689/2023 Seite 10 inwiefern die veränderte Lage zu einer konkreten Gefährdung seiner Per- son führen könnte, zumal das Bundesverwaltungsgericht im Urteil E- 1946/2018 vom 16. Mai 2019 rechtskräftig feststellte, der Beschwerdefüh- rer verfüge über kein Risikoprofil. Daran ändern auch die Narben nichts, zumal er im Rahmen seiner Mitwirkungspflicht (Art. 8 AsylG) verpflichtet gewesen wäre, diese im ordentlichen Verfahren geltend zu machen. Im Übrigen stellte die Vorinstanz zutreffend fest, dass Narben gemäss bun- desverwaltungsgerichtlicher Rechtsprechung nur einen schwach risikobe- gründenden Faktor darstellen.</w:t>
      </w:r>
    </w:p>
    <w:p>
      <w:r>
        <w:rPr>
          <w:b/>
        </w:rPr>
        <w:t>E. 6.3</w:t>
      </w:r>
    </w:p>
    <w:p>
      <w:r>
        <w:t>Zusammenfassend ist die Vorinstanz zu Recht zum Schluss gelangt, es würden keine Wiedererwägungsgründe vorliegen und auch die neuen Vorbringen sowie Beweismittel vermöchten die Flüchtlingseigenschaft nicht zu begründen.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E-689/2023 Seite 11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 werdeführer nicht gelungen ist, eine asylrechtlich erhebliche Gefährdung nachzuweisen oder glaubhaft zu machen, kann der in Art. 5 AsylG veran- kerte Grundsatz der Nichtrückschiebung im vorliegenden Verfahren keine Anwendung finden. Eine Rückkehr des Beschwerdeführers nach Sri Lanka ist demnach unter dem Aspekt von Art. 5 AsylG rechtmässig. Die allgemeine Menschenrechtssituation in Sri Lanka für sich allein lässt den Wegweisungsvollzug nach konstanter Rechtsprechung des Bundes- verwaltungsgerichts nicht als unzulässig erscheinen. Auch der EGMR hatte sich wiederholt mit der Gefährdungssituation für Tamilen auseinanderge- setzt, die aus einem europäischen Land nach Sri Lanka zurückkehren müs- sen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 nien, Urteil vom 17. Juli 2008, Beschwerde Nr. 25904/07). Dabei unter- 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 ren in Betracht gezogen werden (vgl. EGMR, T.N. gegen Dänemark, a.a.O., § 94; EGMR, E.G. gegen Grossbritannien, a.a.O., § 13 und 69 so- wie das Referenzurteil des BVGer E-1866/2015 vom 15. Juli 2016).</w:t>
      </w:r>
    </w:p>
    <w:p>
      <w:r>
        <w:t>E-689/2023 Seite 12 Nachdem der Beschwerdeführer nicht darlegen konnte, dass er bei einer Rückkehr nach Sri Lanka befürchten müsste, die Aufmerksamkeit der sri- lankischen Behörden in einem flüchtlingsrechtlich relevanten Ausmass auf sich zu ziehen, bestehen auch keine Anhaltspunkte dafür, ihm würde aus demselben Grund eine menschenrechtswidrige Behandlung in seinem Hei- matstaat drohen. Alleine aus seiner tamilischen Ethnie und dem Umstand, dass er nach mehrjähriger Landesabwesenheit aus der Schweiz nach Sri Lanka zurückkehrt, ergibt sich auch bei einer heutigen Rückkehr – über einen sogenannten Backgroundcheck (Befragungen, Überprüfungen von Auslandaufenthalten, Tätigkeiten in Sri Lanka und im Ausland) hinaus – keine ernsthafte Gefahr von Folter oder unmenschlicher Behandlung. Da- ran vermögen der Regierungswechsel vom November 2019 sowie die seit- herigen Entwicklungen in Sri Lanka gemäss ständiger Rechtsprechung nichts zu ändern. Der Vollzug der Wegweisung erweist sich demnach als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8.4.1</w:t>
      </w:r>
    </w:p>
    <w:p>
      <w:r>
        <w:t>Zur Zumutbarkeit des Wegweisungsvollzuges führte die Vorinstanz aus, der bewaffnete Konflikt zwischen der sri-lankischen Regierung und den LTTE sei im Mai 2009 zu Ende gegangen. Die aktuelle Sicherheitslage im Zusammenhang mit der schweren Wirtschafts- und Regierungskrise sei zwar dynamisch. Von einer Situation allgemeiner Gewalt im Sinne von Art. 83 Abs. 4 AIG sei aber nicht auszugehen. In individueller Hinsicht könne vollumfänglich auf die zutreffenden Erwägungen des Bundesverwal- tungsgerichts im Urteil E-1946/2018 vom 16. Mai 2019 verwiesen werden, wo die Zumutbarkeit des Wegweisungsvollzuges bejaht worden sei. An die- ser Einschätzung vermöge der Tod des Vaters des Beschwerdeführers nichts zu ändern, zumal weitere Familienangehörige in Sri Lanka lebten. Die geltend gemachten gesundheitlichen Probleme – namentlich (…) und (…) – erschienen nicht derart gravierend, dass die Unzumutbarkeit des Wegweisungsvollzugs anzunehmen sei. Es sei davon auszugehen, dass er auch in Sri Lanka behandelt werden könne. An dieser Einschätzung ver- möge auch der Umstand, dass das Gesundheitswesen von der Wirt- schaftskrise betroffen sei, nichts zu ändern, zumal die staatlichen und pri- vaten Spitäler weiterhin offen und funktionsfähig seien. Betreffend den An- trag auf Erstellung eines Foltergutachtens sei festzuhalten, dass das Bun- desverwaltungsgericht im Urteil E-1946/2018 vom 16. Mai 2019 nicht</w:t>
      </w:r>
    </w:p>
    <w:p>
      <w:r>
        <w:t>E-689/2023 Seite 13 grundsätzlich ausgeschlossen habe, dass der Beschwerdeführer in Sri Lanka behördlichen Verfolgungsmassnahmen ausgesetzt gewesen sei. Unter diesen Umständen sei nicht nachvollziehbar, was mit einem Folter- gutachten noch zu belegen wäre, weshalb der entsprechende Antrag ab- zuweisen sei.</w:t>
      </w:r>
    </w:p>
    <w:p>
      <w:r>
        <w:rPr>
          <w:b/>
        </w:rPr>
        <w:t>E. 8.5</w:t>
      </w:r>
    </w:p>
    <w:p>
      <w:r>
        <w:t>Das Gericht schliesst sich vollumfänglich den zutreffenden Erwägun- gen der Vorinstanz zur Zumutbarkeit des Wegweisungsvollzuges an, zumal der Beschwerdeführer diesen nichts Substantielles entgegensetzt. Aus den Folgen des Regierungswechsels vom November 2019 ergeben sich keine Hinweise individueller Art auf eine konkrete Gefährdung des Beschwerde- führers. Der Vollzug der Wegweisung erweist sich demnach als zumutbar.</w:t>
      </w:r>
    </w:p>
    <w:p>
      <w:r>
        <w:rPr>
          <w:b/>
        </w:rPr>
        <w:t>E. 8.6</w:t>
      </w:r>
    </w:p>
    <w:p>
      <w:r>
        <w:t>Schliesslich verfügt der Beschwerdeführer über eine Identitätskarte und obliegt es ihm, sich bei der zuständigen Vertretung des Heimatstaates die für eine Rückkehr weiteren notwendigen Reisedokumente zu beschaf- 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Vorinstanz hat das Wiedererwägungs- und Mehrfachgesuch zu Recht abgewiesen. Für eine Rückweisung der Sa- che an die Vorinstanz besteht kein Anlass. Der Antrag auf zusätzliche Ab- klärungen durch die Botschaft in Sri Lanka ist abzuweisen. Die Be- schwerde ist abzuweisen, soweit darauf einzutreten ist.</w:t>
      </w:r>
    </w:p>
    <w:p>
      <w:r>
        <w:rPr>
          <w:b/>
        </w:rPr>
        <w:t>E. 10.1</w:t>
      </w:r>
    </w:p>
    <w:p>
      <w:r>
        <w:t>Bei diesem Ausgang des Verfahrens wären die Kosten dem Be- schwerdeführer aufzuerlegen (Art. 63 Abs. 1 VwVG). Da seine Begehren nicht zum Vornherein als aussichtslos zu betrachten waren und die Bedürf- tigkeit belegt ist, ist das Gesuch um Gewährung der unentgeltlichen Pro- zessführung gemäss Art. 65 Abs. 1 VwVG gutzuheissen. Es sind keine Ver- fahrenskosten zu erheben.</w:t>
      </w:r>
    </w:p>
    <w:p>
      <w:r>
        <w:t>E-689/2023 Seite 14</w:t>
      </w:r>
    </w:p>
    <w:p>
      <w:r>
        <w:rPr>
          <w:b/>
        </w:rPr>
        <w:t>E. 10.2</w:t>
      </w:r>
    </w:p>
    <w:p>
      <w:r>
        <w:t>Das Gesuch des Beschwerdeführers um amtliche Rechtsverbeistän- dung ist gestützt auf Art. 65 Abs. 2 VwVG zu beurteilen (vgl. Art. 102m Abs. 2 AsylG). Gemäss Art. 65 Abs. 2 VwVG wird einer mittellosen Partei, soweit es zur Wahrung ihrer Rechte notwendig ist, in einem nicht aussichts- 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 schen Hilfe eines Anwaltes bedarf (vgl. dazu BGE 128 I 225 E. 2.5.2). In Verfahren, welche – wie das vorliegende – vom Untersuchungsgrundsatz beherrscht sind, sind strenge Massstäbe an die Gewährung der unentgelt- lichen Rechtsverbeiständung anzusetzen (vgl. BGE 122 I 8 E. 2c). Die un- entgeltliche Rechtsverbeiständung im Sinne von Art. 65 Abs. 2 VwVG wird deshalb praxisgemäss nur in besonderen Fällen gewährt, in welchen in rechtlicher oder tatsächlicher Hinsicht erhöhte Schwierigkeiten bestehen. Da das vorliegende Verfahren weder in tatsächlicher noch in rechtlicher Hinsicht besonders komplex erscheint, ist das Gesuch um unentgeltliche Rechtsverbeiständung im Sinne von Art. 65 Abs. 2 VwVG abzuweisen.</w:t>
      </w:r>
    </w:p>
    <w:p>
      <w:r>
        <w:t>(Dispositiv nächste Seite)</w:t>
      </w:r>
    </w:p>
    <w:p>
      <w:r>
        <w:t>E-689/2023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