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E-689/2019 vom 30. November 2020</w:t>
      </w:r>
    </w:p>
    <w:p>
      <w:r>
        <w:t>Bundesverwaltungsgericht, 2020-11-30, FR</w:t>
      </w:r>
    </w:p>
    <w:p>
      <w:r>
        <w:rPr>
          <w:b/>
        </w:rPr>
        <w:t xml:space="preserve">Quelle: </w:t>
      </w:r>
      <w:r>
        <w:t>https://mcp.opencaselaw.ch/entscheid/bvger_E-689_2019</w:t>
      </w:r>
    </w:p>
    <w:p>
      <w:r>
        <w:t>FR: TAF E-689/2019 du 30 novembre 2020</w:t>
      </w:r>
    </w:p>
    <w:p>
      <w:r>
        <w:t>IT: TAF E-689/2019 del 30 novembre 2020</w:t>
      </w:r>
    </w:p>
    <w:p>
      <w:pPr>
        <w:pStyle w:val="Heading2"/>
      </w:pPr>
      <w:r>
        <w:t>Regeste</w:t>
      </w:r>
    </w:p>
    <w:p>
      <w:r>
        <w:t>Exécution du renvoi</w:t>
      </w:r>
    </w:p>
    <w:p>
      <w:pPr>
        <w:pStyle w:val="Heading2"/>
      </w:pPr>
      <w:r>
        <w:t>Erwägungen</w:t>
      </w:r>
    </w:p>
    <w:p>
      <w:r>
        <w:rPr>
          <w:b/>
        </w:rPr>
        <w:t>E. 1.1</w:t>
      </w:r>
    </w:p>
    <w:p>
      <w:r>
        <w:t>En vertu de l'art. 31 LTAF (RS 173.32), le Tribunal connaît des recours contre les décisions au sens de l'art. 5 PA. En particulier, les décisions rendues par le SEM en matière d'asile et de renvoi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La présente procédure, introduite antérieurement au 1er mars 2019, est soumise à l'ancien droit (cf. dispositions transitoires de la modification de la LAsi du 25 septembre 2015, al. 1).</w:t>
      </w:r>
    </w:p>
    <w:p>
      <w:r>
        <w:rPr>
          <w:b/>
        </w:rPr>
        <w:t>E. 1.4</w:t>
      </w:r>
    </w:p>
    <w:p>
      <w:r>
        <w:t>Le recourant a qualité pour recourir (cf. art. 48 al. 1 PA). Présenté dans la forme (cf. art. 52 al. 1 PA) et le délai (cf. ancien art. 108 al. 1 LAsi) prescrits par la loi, le recours est recevable.</w:t>
      </w:r>
    </w:p>
    <w:p>
      <w:r>
        <w:rPr>
          <w:b/>
        </w:rPr>
        <w:t>E. 2</w:t>
      </w:r>
    </w:p>
    <w:p>
      <w:r>
        <w:t>A titre liminaire, il y a lieu de rappeler que le Tribunal applique le droit d'office, sans être lié par les motifs invoqués dans le recours (cf. art. 106 al. 1 LAsi et 62 al. 4 PA, par renvoi de l'art. 6 LAsi et l'art. 37 LTAF) ou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2007/41 consid. 2 ; Moor/Poltier, Droit administratif, vol. II, 3e éd., 2011, p. 820 s.). De même, le Tribunal s'appuie sur la situation au moment du prononcé de l'arrêt s'agissant de la crainte de persécution future ou de motifs d'empêchement à l'exécution du renvoi, que ceux-ci soient d'ordre juridique ou pratique (cf. ATAF 2009/19 consid. 5.1 ; 2008/12 consid. 5.2 ; 2008/4 consid. 5.4 ; arrêt du Tribunal D-5124/2010 du 14 juin 2013 consid. 1.4 et jurisp. cit.). Pour ce faire, il prend en considération l'évolution de la situation intervenue depuis le dépôt de la demande d'asile.</w:t>
      </w:r>
    </w:p>
    <w:p>
      <w:r>
        <w:rPr>
          <w:b/>
        </w:rPr>
        <w:t>E. 3</w:t>
      </w:r>
    </w:p>
    <w:p>
      <w:r>
        <w:t>En l'occurrence, le recourant n'a pas recouru contre la décision du SEM du 8 janvier 2019, en tant qu'elle refuse de lui reconnaître la qualité de réfugié, rejette sa demande d'asile et prononce son renvoi dans le principe. Par conséquent, sur ces points (correspondant aux chiffres 1 à 3 de son dispositif), dite décision a acquis force de chose décidée. Seule la question de l'exécution du renvoi est litigieuse. Dans ce cadre, il y a lieu de préciser que le recourant est devenu majeur en date du (...), de sorte que les questions relatives à sa minorité ainsi que les arguments développés à ce propos ont perdu leur actualité.</w:t>
      </w:r>
    </w:p>
    <w:p>
      <w:r>
        <w:rPr>
          <w:b/>
        </w:rPr>
        <w:t>E. 4</w:t>
      </w:r>
    </w:p>
    <w:p>
      <w:r>
        <w:t>L'exécution du renvoi est ordonnée si elle est licite, raisonnablement exigible et possible. Si l'une de ces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(cf. art. 3 Conv. torture, RS 0.105).</w:t>
      </w:r>
    </w:p>
    <w:p>
      <w:r>
        <w:rPr>
          <w:b/>
        </w:rPr>
        <w:t>E. 5.2</w:t>
      </w:r>
    </w:p>
    <w:p>
      <w:r>
        <w:t>Etant donné que la qualité de réfugié du recourant n'a pas été reconnue, l'exécution du renvoi ne contrevient pas au principe de non-refoulement consacré aux art. 5 LAsi et 33 de la Convention relative au statut des réfugiés (RS 0.142.30).</w:t>
      </w:r>
    </w:p>
    <w:p>
      <w:r>
        <w:rPr>
          <w:b/>
        </w:rPr>
        <w:t>E. 5.3.1</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5.3.2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5.3.3</w:t>
      </w:r>
    </w:p>
    <w:p>
      <w:r>
        <w:t>En l'occurrence, le recourant n'a pas démontré à satisfaction de droit qu'il existerait pour lui un risque réel, fondé sur des motifs avérés et sérieux, d'être victime de torture ou encore d'un traitement inhumain ou dégradant, au sens de l'art. 3 CEDH, en cas d'exécution du renvoi dans son pays d'origine. En effet, même à admettre la vraisemblance des mauvais traitements infligés par son oncle avant son départ du pays, il n'est pas plausible qu'en tant qu'adulte, le recourant s'y retrouve à nouveau soumis. Au demeurant, le Tribunal relève, à l'instar du SEM, que les allégations du recourant, selon lesquelles son oncle aurait, par le passé, soudoyé la police guinéenne pour le retrouver, ne reposent en l'état sur aucun élément concret ni moyen de preuve. Elles n'apparaissent en outre pas crédibles, l'intéressé n'ayant jamais mentionné cet événement durant ses auditions.</w:t>
      </w:r>
    </w:p>
    <w:p>
      <w:r>
        <w:rPr>
          <w:b/>
        </w:rPr>
        <w:t>E. 5.3.4</w:t>
      </w:r>
    </w:p>
    <w:p>
      <w:r>
        <w:t>Enfin, pour les motifs qui suivent (cf. consid. 6.3.2 ss ci-après), les éléments de santé invoqués ne sont a fortiori pas décisifs sous l'angle de la licéité (cf. arrêts de la CourEDH N. c. Royaume-Uni du 27 mai 2008, n° 26565, par. 43, et Paposhvili c. Belgique du 13 décembre 2016, n° 41738/10, par. 178).</w:t>
      </w:r>
    </w:p>
    <w:p>
      <w:r>
        <w:rPr>
          <w:b/>
        </w:rPr>
        <w:t>E. 5.4</w:t>
      </w:r>
    </w:p>
    <w:p>
      <w:r>
        <w:t>Dans ces conditions, l'exécution du renvoi du recourant sous forme de refoulement ne transgresse aucun engagement de la Suisse relevant du droit international, de sorte que cette mesure s'avère licite (cf.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7.3 - 7.10 ; 2011/50 consid. 8.1 - 8.3).</w:t>
      </w:r>
    </w:p>
    <w:p>
      <w:r>
        <w:rPr>
          <w:b/>
        </w:rPr>
        <w:t>E. 6.2</w:t>
      </w:r>
    </w:p>
    <w:p>
      <w:r>
        <w:t>En dépit de violences plus ou moins récurrentes,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w:t>
      </w:r>
    </w:p>
    <w:p>
      <w:r>
        <w:t>Reste à examiner s'il ressort du dossier un élément personnel dont on pourrait inférer que l'exécution du renvoi impliquerait une mise en danger concrète de l'intéressé.</w:t>
      </w:r>
    </w:p>
    <w:p>
      <w:r>
        <w:rPr>
          <w:b/>
        </w:rPr>
        <w:t>E. 6.3.1</w:t>
      </w:r>
    </w:p>
    <w:p>
      <w:r>
        <w:t>Dans son recours, l'intéressé a, avant tout, contesté l'exécution de son renvoi pour des raisons liées à sa minorité. A cet égard, le Tribunal rappelle cependant que la question de la prise en charge de l'intéressé en tant que mineur à son retour en Guinée ne se pose plus, dans la mesure où celui-ci a désormais atteint sa majorité (cf. consid. 3 ci-avant).</w:t>
      </w:r>
    </w:p>
    <w:p>
      <w:r>
        <w:rPr>
          <w:b/>
        </w:rPr>
        <w:t>E. 6.3.2</w:t>
      </w:r>
    </w:p>
    <w:p>
      <w:r>
        <w:t>L'intéressé a également fait valoir qu'il était une personne vulnérable sous l'angle médical et que son état de santé s'opposait à l'exécution de son renvoi.</w:t>
      </w:r>
    </w:p>
    <w:p>
      <w:r>
        <w:rPr>
          <w:b/>
        </w:rPr>
        <w:t>E. 6.3.2.1</w:t>
      </w:r>
    </w:p>
    <w:p>
      <w:r>
        <w:t>Le Tribunal rappelle que l'exécution du renvoi de personnes nécessitant des soins médicaux ne devient inexigible qu'à la double condition que leurs affections puissent être qualifiées de graves et que ces personnes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 24 consid. 5b p. 157 s. ; Gabrielle Steffen, Droit aux soins et rationnement, Berne 2002, p. 81 s. et 87). Ainsi, l'exécution du renvoi demeure raisonnablement exigible si les troubles physiques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Il en va de même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Enfin, l'art. 83 al. 4 LEI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2009/2 consid. 9.3.2 ; JICRA 2003 n° 24 consid. 5b p. 157 ss et réf. cit.).</w:t>
      </w:r>
    </w:p>
    <w:p>
      <w:r>
        <w:rPr>
          <w:b/>
        </w:rPr>
        <w:t>E. 6.3.2.2</w:t>
      </w:r>
    </w:p>
    <w:p>
      <w:r>
        <w:t>En l'occurrence, selon le dernier document médical en date (cf. rapport médical du [...] 2020), établi sur la base d'un examen effectué le (...) 2020, l'intéressé souffre, sur le plan somatique, de douleurs et d'oedèmes aux membres inférieurs ainsi que d'une insuffisance rénale légère. Ces troubles sont actuellement en cours d'investigations. Le rapport médical précité ne fait cependant état d'aucun traitement en cours, ni d'aucun suivi préconisé, de sorte que ces affections peuvent être considérées, en l'état, comme étant sans gravité. Le Tribunal constate en outre qu'en dépit de l'invitation faite par ordonnance du 13 août 2020, aucun rapport médical détaillé et actualisé n'a été produit concernant l'état de santé psychique du recourant. Dans ces conditions, il peut être retenu que les troubles mentionnés dans le rapport médical du (...) 2019 - à savoir un état dépressif moyen et un état de stress post-traumatique - sont aujourd'hui guéris ou, à tout le moins, ne nécessitent plus que des soins ou un suivi ne s'opposant pas à l'exécution du renvoi. Le Tribunal rappelle à ce titre que des traitements psychiatriques sont en principe disponibles en Guinée, et plus particulièrement à Conakry (où l'intéressé a déjà vécu), auprès du service de psychiatrie du CHU de Donka (cf. arrêts du Tribunal E-2710/2018 du 4 décembre 2019 consid. 6.4.3, D-7091/2018 du 14 février 2019, E-1688/2016 du 20 décembre 2018 consid. 6.5, D-4609/2018 du 21 novembre 2018 consid. 6.3, E-5541/2017 du 23 août 2018 consid. 11.3.3 et D-2700/2016 du 24 novembre 2016 consid. 7.5). Si le système de santé publique en Guinée souffre de certaines carences en termes de capacité ainsi que d'infrastructures et qu'il est probable que la prise en charge de problèmes de santé ne corresponde pas aux standards médicaux suisses, cela ne permet pas encore de constater systématiquement l'existence d'un obstacle au sens de l'art. 83 al. 4 LEI ; dans le cas présent, rien n'indique que le recourant ne pourra pas y bénéficier des soins essentiels que requiert son état de santé actuel. Par ailleurs, à supposer que les affections de l'intéressé requièrent une médication, ce qui ne ressort pas non plus du rapport médical du (...) 2020, celui-ci pourra non seulement se constituer une réserve de médicaments avant son départ de Suisse, mais également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 lot de médicaments ou un forfait consacré aux prestations médicales pour un laps de temps convenable ainsi qu'une aide financière à sa réinsertion.</w:t>
      </w:r>
    </w:p>
    <w:p>
      <w:r>
        <w:rPr>
          <w:b/>
        </w:rPr>
        <w:t>E. 6.3.2.3</w:t>
      </w:r>
    </w:p>
    <w:p>
      <w:r>
        <w:t>Au vu de ce qui précède, les troubles du recourant, tels qu'ils ressortent du rapport médical du (...) 2020, ne sont pas susceptibles de faire obstacle à l'exécution du renvoi.</w:t>
      </w:r>
    </w:p>
    <w:p>
      <w:r>
        <w:rPr>
          <w:b/>
        </w:rPr>
        <w:t>E. 6.3.3</w:t>
      </w:r>
    </w:p>
    <w:p>
      <w:r>
        <w:t>Pour le reste, le recourant est majeur, sans charge de famille et est apparemment apte à travailler ; ce sont autant de facteurs qui devraient lui permettre de se réinstaller dans son pays sans rencontrer d'excessives difficultés. De plus, et bien que cela ne soit pas décisif en l'espèce, rien ne permet, en l'état, d'exclure la présence d'un éventuel réseau familial (l'intéressé ayant notamment déclaré avoir un oncle maternel à C._______) ou social dans son pays, qu'il lui sera loisible, le cas échéant, de réactiver.</w:t>
      </w:r>
    </w:p>
    <w:p>
      <w:r>
        <w:rPr>
          <w:b/>
        </w:rPr>
        <w:t>E. 6.4</w:t>
      </w:r>
    </w:p>
    <w:p>
      <w:r>
        <w:t>Pour ces motifs, l'exécution du renvoi doit être considérée comme raisonnablement exigible.</w:t>
      </w:r>
    </w:p>
    <w:p>
      <w:r>
        <w:rPr>
          <w:b/>
        </w:rPr>
        <w:t>E. 7</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8</w:t>
      </w:r>
    </w:p>
    <w:p>
      <w:r>
        <w:t>Enfin, le contexte actuel lié à la propagation en Suisse, en Guinée et dans le monde de la maladie à coronavirus (Covid-19) ne justifie pas le prononcé d'une admission provisoire, que ce soit sous l'angle de l'exigibilité de l'exécution du renvoi ou celui de la possibilité de cette mesure. Il est donc du ressort des autorités d'exécution d'organiser le retour dès que possible (cf. JICRA 1995 n° 14 consid. 8d et e).</w:t>
      </w:r>
    </w:p>
    <w:p>
      <w:r>
        <w:rPr>
          <w:b/>
        </w:rPr>
        <w:t>E. 9</w:t>
      </w:r>
    </w:p>
    <w:p>
      <w:r>
        <w:t>Au regard de ce qui précède, la décision attaquée ne comporte aucune violation du droit fédéral, se fonde sur un état de fait pertinent, exact et complet (cf. art. 106 al. 1 LAsi) et, dans la mesure où ce grief peut être examiné (cf. art. 49 PA ; cf.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(cf. art. 65 al. 1 PA et anc. art. 110a al. 1 LAsi).</w:t>
      </w:r>
    </w:p>
    <w:p>
      <w:r>
        <w:rPr>
          <w:b/>
        </w:rPr>
        <w:t>E. 10.2</w:t>
      </w:r>
    </w:p>
    <w:p>
      <w:r>
        <w:t>Pour la même raison, la mandataire d'office a droit à une indemnité pour les frais indispensables liés à la défense des intérêts du recourant (cf. art. 8 à 11 FITAF). Il y a lieu de rappeler que le tarif horaire retenu par le Tribunal est en règle générale de 100 à 150 francs pour les représentants professionnels ne bénéficiant pas du brevet d'avocat (cf. art. 10 al. 2 FITAF en lien avec l'art. 12 FITAF ; cf. également décision incidente du 13 août 2020). Seuls les frais nécessaires sont indemnisés (cf. art. 8 al. 2 FITAF). En l'espèce, en l'absence de note de frais, le Tribunal fixe le montant de l'indemnité du mandataire d'office sur la base du dossier (cf. art. 14 al. 1 et 2 FITAF). Eu égard au temps de travail nécessaire pour la présente procédure de recours, ladite indemnité est arrêtée, ex aequo et bono, à 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