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E-6893/2014 vom 30. Dezember 2014</w:t>
      </w:r>
    </w:p>
    <w:p>
      <w:r>
        <w:t>Bundesverwaltungsgericht, 2014-12-30, DE</w:t>
      </w:r>
    </w:p>
    <w:p>
      <w:r>
        <w:rPr>
          <w:b/>
        </w:rPr>
        <w:t xml:space="preserve">Quelle: </w:t>
      </w:r>
      <w:r>
        <w:t>https://mcp.opencaselaw.ch/entscheid/bvger_E-6893_2014</w:t>
      </w:r>
    </w:p>
    <w:p>
      <w:r>
        <w:t>FR: TAF E-6893/2014 du 30 décembre 2014</w:t>
      </w:r>
    </w:p>
    <w:p>
      <w:r>
        <w:t>IT: TAF E-6893/2014 del 30 dicembre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Der Beschwerde kommt von Gesetzes wegen aufschiebende Wirkung zu (Art. 55 Abs. 1 VwVG). Die Vorinstanz hat sie nicht entzogen. Der Antrag, die aufschiebende Wirkung der Beschwerde wieder herzustellen, ist somit gegenstandslos.</w:t>
      </w:r>
    </w:p>
    <w:p>
      <w:r>
        <w:rPr>
          <w:b/>
        </w:rPr>
        <w:t>E. 2.3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Entscheid dargelegt und folgt dabei ständiger Praxis. Darauf kann hier verwiesen werden (vgl. BVGE 2010/57 E. 2.2 und 2.3).</w:t>
      </w:r>
    </w:p>
    <w:p>
      <w:r>
        <w:rPr>
          <w:b/>
        </w:rPr>
        <w:t>E. 4.1</w:t>
      </w:r>
    </w:p>
    <w:p>
      <w:r>
        <w:t>Die Vorinstanz hat in der angefochtenen Verfügung ausgeführt, dass aufgrund von Zweifeln an der geltend gemachten Herkunft neben einer Prüfung der Asylvorbringen seitens einer sachverständigen Person auch eine Sprach- und Herkunftsanalyse - sogenannte Lingua-Analyse - durchgeführt worden sei. Zusammenfassend kommt die Vorinstanz zum Schluss, die Vorbringen des Beschwerdeführers würden den Anforderungen an die Glaubhaftigkeit gemäss Art. 7 AsylG nicht standhalten.</w:t>
      </w:r>
    </w:p>
    <w:p>
      <w:r>
        <w:rPr>
          <w:b/>
        </w:rPr>
        <w:t>E. 4.2</w:t>
      </w:r>
    </w:p>
    <w:p>
      <w:r>
        <w:t>In der Tat weisen die Angaben des Beschwerdeführers zahlreiche Wissensdefizite auf, welche er in der Rechtsmitteleingabe nicht erklären kann. Die fehlenden Kenntnisse der geographischen Gegebenheiten seiner Herkunftsregion bestreitet der Beschwerdeführer in der Rechtsmitteleingabe nicht, will sie jedoch dadurch begründen, dass er als Viehhüter in einem Dorf aufgewachsen sei. Diese pauschale Antwort erklärt jedoch nichts, zumal ein Viehhüter mit den Tieren das Dorf auch regelmässig verlässt. Alsdann sollte von einem Viehhirten erwartet werden können, dass er über im Bereich der Viehzucht wichtiges Fachwissen wie den Zusammenhang von Tieralter und Anzahl Zähne, den Fettgehalt des Yakfleisches, die Grösse der Felder oder auch die Höhe des Familieneinkommens Auskunft geben kann. Er erweist sich in diesem Bereich jedoch als völlig ahnungslos. Der Analyse des Experten, dass der Beschwerdeführer aufgrund seiner Wortwahl und seines Akzentes sehr wahrscheinlich in einer exiltibetischen Gemeinschaft Nepals sozialisiert worden sei, hält er entgegen, dass sich der Experte aufgrund der von ihm analysierten Gebiete in seiner Herkunftsregion nicht auskenne, ohne diese Behauptung aber weiter zu substantiieren. Darüber hinaus hat der Beschwerdeführer auch diversen anderen, durch die Vorinstanz festgestellten Ungereimtheiten in der Rechtsmitteleingabe nichts entgegengehalten. So geht er etwa auf den in der angefochtenen Verfügung aufgezeigten Widerspruch, in derselben Anhörung einmal einundzwanzig, dann aber nur sieben Tage für die Wegdauer zwischen Heimatdorf und nepalesischer Grenze angegeben zu haben, mit keinem Wort ein. Weiter kann er nicht erklären, wie er ohne jede Hilfe von ortskundigen Schleppern die Grenze zu Nepal überquert haben will, obwohl er sein Dorf gemäss eigenen Angaben zuvor nie verlassen habe. Auch liefert der Beschwerdeführer keine Antwort auf den Einwand, weshalb er das gut sichtbare Bild des Dalai Lama nicht vom Hausaltar entfernte, obwohl es im Dorf immer wieder zu Hausdurchsuchungen gekommen sei. Es bleibt in der Tat unerklärlich, weshalb die Chinesen das Bild nicht bereits früher konfisziert haben, sei es doch seit Grossvater Zeiten gut sichtbar auf dem Hausaltar platziert gewesen.</w:t>
      </w:r>
    </w:p>
    <w:p>
      <w:r>
        <w:rPr>
          <w:b/>
        </w:rPr>
        <w:t>E. 4.3.1</w:t>
      </w:r>
    </w:p>
    <w:p>
      <w:r>
        <w:t>Gemäss Art. 12 VwVG stellt die Behörde den Sachverhalt von Amtes wegen fest und bedient sich nötigenfalls der gesetzlichen Beweismittel (Bstn. a-e). Der Untersuchungsgrundsatz findet seine Grenze indessen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4.3.2</w:t>
      </w:r>
    </w:p>
    <w:p>
      <w:r>
        <w:t>Zunächst ist festzuhalten, dass die Identität des Beschwerdeführers nicht feststeht; diesbezüglich ist mit der Vorinstanz einig zu gehen. Der Beschwerdeführer hat im vorinstanzlichen Verfahren trotz ausdrücklicher Aufforderung weder Ausweispapiere noch irgendwelche Beweismittel, die geeignet wären, etwas zur Klärung seiner Identität und seines Herkunftslandes beizutragen, eingereicht. Auch auf Beschwerdeebene ist er diesbezüglich untätig geblieben und hat sich nicht darum bemüht, Papiere beizubringen. Dies stellt eine Verletzung der ihm obliegenden Mitwirkungspflicht gemäss Art. 8 AsylG dar, auf welche ihn die Vorinstanz bereits anlässlich der Befragung (BFM-Akten, A6/13 S. 2 und 6) und später erneut bei der Anhörung (BFM-Akten, A14/17 S. 2 f.) hingewiesen hatte. Anlässlich der Befragung und der Anhörung hat er die Beschaffung der Identitätskarte aus seinem Heimatdorf als sehr schwierig bezeichnet. Der Vorinstanz ist zuzustimmen, dass überwiegende Zweifel an der vom Beschwerdeführer geltend gemachten Herkunft bestehen. Diese werden dadurch erhärtet, dass der Beschwerdeführer in seiner Rechtsmitteleingabe auf diverse in der angefochtenen Verfügung aufgezählte Unstimmigkeiten mit keinem Wort eingegangen ist. Hierzu sei auf die Erwägung 4.2 verwiesen.</w:t>
      </w:r>
    </w:p>
    <w:p>
      <w:r>
        <w:rPr>
          <w:b/>
        </w:rPr>
        <w:t>E. 4.3.3</w:t>
      </w:r>
    </w:p>
    <w:p>
      <w:r>
        <w:t>Es ist also mit der Vorinstanz festzustellen, dass weder die Identität noch die Staatsangehörigkeit beziehungsweise das Herkunftsland des Beschwerdeführers geklärt ist. Das Verhalten des Beschwerdeführers stellt sodann auch eine Verletzung der ihm obliegenden Mitwirkungspflicht (Art. 8 AsylG) dar. Durch die Verletzung dieser Pflicht verunmöglicht er die Abklärung, welchen effektiven Status er im Staat seines vormaligen Aufenthalts hatte. Die Folgen dieses Verhaltens hat der Beschwerdeführer selber zu verantworten. Ferner ist bei Personen tibetischer Ethnie, die ihre wahre Herkunft verschleiern oder verheimlichen, vermutungsweise davon auszugehen, dass keine flüchtlings- oder wegweisungsbeachtlichen Gründe gegen eine Rückkehr an ihren bisherigen Aufenthaltsort bestehen (vgl. BVGE 2014/12).</w:t>
      </w:r>
    </w:p>
    <w:p>
      <w:r>
        <w:rPr>
          <w:b/>
        </w:rPr>
        <w:t>E. 4.4</w:t>
      </w:r>
    </w:p>
    <w:p>
      <w:r>
        <w:t>Zusammenfassend ergibt sich, dass der Beschwerdeführer keine Verfolgung im Sinne von Art. 3 AsylG in Bezug auf die Volksrepublik China glaubhaft zu machen vermag. Die Vorinstanz hat zu Recht die Flüchtlingseigenschaft verneint und das Asylgesuch abgelehnt.</w:t>
      </w:r>
    </w:p>
    <w:p>
      <w:r>
        <w:rPr>
          <w:b/>
        </w:rPr>
        <w:t>E. 5</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6.1</w:t>
      </w:r>
    </w:p>
    <w:p>
      <w:r>
        <w:t>Bezüglich des Wegweisungsvollzugs führt die Vorinstanz aus, da der Beschwerdeführer die Flüchtlingseigenschaft nicht erfülle, könne auch der Grundsatz der Nichtrückschiebung gemäss Art. 5 Abs. 1 AsylG nicht angewandt werden. Ferner würden sich aus den Akten keine Anhaltspunkte dafür ergeben, dass ihm im Falle einer Rückkehr an seinen bisherigen Aufenthaltsort mit beachtlicher Wahrscheinlichkeit eine durch Art. 3 EMRK verbotene Strafe oder Behandlung drohe. Ein Vollzug der Wegweisung in die Volksrepublik China wurde im vorinstanzlichen Entscheid ausdrücklich ausgeschlossen (vgl. Ziff. 5 des Dispositivs der Verfügung vom 28. Oktober 2014). Das Gericht folgt der Vorinstanz sowohl in diesem Punkt als auch hinsichtlich der weiteren diesbezüglichen Erwägungen. Zwecks Vermeidung von Wiederholungen kann auf den Entscheid des Bundesamtes verwiesen werden.</w:t>
      </w:r>
    </w:p>
    <w:p>
      <w:r>
        <w:rPr>
          <w:b/>
        </w:rPr>
        <w:t>E. 6.2</w:t>
      </w:r>
    </w:p>
    <w:p>
      <w:r>
        <w:t>Zulässigkeit, Zumutbarkeit und Möglichkeit eines Wegweisungsvollzugs sind zwar von Amtes wegen zu prüfen, aber die Untersuchungspflicht findet, wie bereits vorstehend in den Erwägungen 4.3.1 bis 4.3.3 ausgeführt, ihre Grenzen an der Mitwirkungspflicht des Beschwerdeführers.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gilt, welches gemäss Vorinstanz als möglicher Herkunftsstaat in Frage kommt. Mit dem Vorenthalten von Informationen und dem Fehlen jeglicher Bemühungen, Ausweispapiere und Beweismittel zu beschaffen, die seine Identität, Herkunft und seine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dem Gericht die für genauere Abklärungen erforderliche Grundlage, und es ist nicht Sache des Gerichts, sich in Mutmassungen und Spekulationen zu ergehen. Soweit der Beschwerdeführer abstrakt rügt, nicht nach Nepal oder Indien ausreisen zu können, weil die jeweils zuständige Botschaft in diesen Fällen bekanntermassen keine Visa ausstelle, ist dies lediglich eine Behauptung. Er hat nicht ansatzweise dargelegt, dass er sich um seine Ausreise respektive die Ausstellung eines entsprechenden Visums bemüht hat.</w:t>
      </w:r>
    </w:p>
    <w:p>
      <w:r>
        <w:rPr>
          <w:b/>
        </w:rPr>
        <w:t>E. 6.3</w:t>
      </w:r>
    </w:p>
    <w:p>
      <w:r>
        <w:t>Es obliegt dem Beschwerdeführer, sich die für eine Rückkehr allenfalls benötigten Reisedokumente bei der Vertretung seines Heimatlandes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Prozessführung. Aufgrund der vorstehenden Erwägungen ergibt sich, dass sein Begehren als aussichtslos zu gelten hat. Damit ist eine der kumulativ zu erfüllenden Voraussetzungen zum Erlass der Verfahrenskosten nicht gegeben, weshalb das Gesuch abzulehnen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einer Erhebung des Kostenvorschusses sowie die übrigen prozessualen Anträge sind mit dem vorliegenden Urteil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