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E-6893/2011 vom 6. Juni 2012</w:t>
      </w:r>
    </w:p>
    <w:p>
      <w:r>
        <w:t>Bundesverwaltungsgericht, 2012-06-06, DE</w:t>
      </w:r>
    </w:p>
    <w:p>
      <w:r>
        <w:rPr>
          <w:b/>
        </w:rPr>
        <w:t xml:space="preserve">Quelle: </w:t>
      </w:r>
      <w:r>
        <w:t>https://mcp.opencaselaw.ch/entscheid/bvger_E-6893_2011</w:t>
      </w:r>
    </w:p>
    <w:p>
      <w:r>
        <w:t>FR: TAF E-6893/2011 du 6 juin 2012</w:t>
      </w:r>
    </w:p>
    <w:p>
      <w:r>
        <w:t>IT: TAF E-6893/2011 del 6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18 AsylG gilt jede Äusserung, mit der eine Person zu erkennen gibt, dass sie die Schweiz um Schutz vor Verfolgung nachsucht, als Asylgesuch. Hat eine Person ein Asylgesuch i.S. von Art. 18 AsylG gestellt, wird sie dadurch Partei und kann sich im Verfahren, wenn sie nicht persönlich zu handeln hat, vertreten lassen (Art. 11 Abs. 1 VwVG). Da es sich bei der Einreichung eines Asylgesuchs nach der öffentlich-rechtli­chen Doktrin um ein relativ höchstpersönliches Recht handelt, müssen urteilsfähige Personen ein Asylgesuch selbständig, das heisst ohne die Hilfe eines Vertreters, einreichen. Der Mangel eines nicht selbständig eingereichten Asylgesuchs kann geheilt werden, wenn das Gesuch während des erstinstanzlichen Verfahrens durch die asylsuchende Person persönlich bestätigt wird. Urteilsunfähige Personen können über ihren gesetzlichen Vertreter ein Asylgesuch einreichen (vgl. Entscheidungen und Mitteilungen der Schweizerischen Asylrekurskommission [EMARK] 1996 Nr. 5 E. 4; BVGE E-3162/2011 vom 6. Dezember 2011, E. 4.3.2 m.w.H.).</w:t>
      </w:r>
    </w:p>
    <w:p>
      <w:r>
        <w:rPr>
          <w:b/>
        </w:rPr>
        <w:t>E. 3.2</w:t>
      </w:r>
    </w:p>
    <w:p>
      <w:r>
        <w:t>Vorab ist festzustellen, dass die Ehe zwischen dem Beschwerdeführer 2 und der Beschwerdeführerin sowie das Kindesverhältnis des Beschwerdeführers 2 mit dem Sohn der Beschwerdeführerin vom BFM nicht bestritten wurden. Das Bundesverwaltungsgericht schliesst sich aufgrund der Aktenlage dieser Erkenntnis an.</w:t>
      </w:r>
    </w:p>
    <w:p>
      <w:r>
        <w:rPr>
          <w:b/>
        </w:rPr>
        <w:t>E. 3.3</w:t>
      </w:r>
    </w:p>
    <w:p>
      <w:r>
        <w:t>Im vorliegenden Fall wurde das Asylgesuch der Beschwerdeführenden 1 vom Beschwerdeführer 2 eingereicht. Dieser ist der gesetzliche Vertreter seines minderjährigen Sohnes (Art. 304 des Schweizerischen Zivilgesetzbuchs vom 10. Dezember 1907 [ZGB, SR 210]). Da der achtjährige Sohn aufgrund seines Alters bezüglich eines Asylgesuchs als urteilsunfähig (Art. 16 ZGB) anzusehen ist, konnte sein Vater als sein gesetzlicher Vertreter ein Asylgesuch für ihn einreichen. Bei der Beschwerdeführerin handelt es sich um eine mündige, urteilsfähige Person, weshalb sie ihr Gesuch selbständig hätte einreichen müssen. Im Rahmen des erstinstanzlichen Verfahrens liess sie eine unterschriebene Vollmacht für ihren Ehemann und die rubrizierte Rechtsanwältin, in der sie beide ermächtigte, "für mich ein Asylgesuch aus dem Ausland einzureichen", und die Kopie ihres Flüchtlingsausweises zu den Akten geben. Damit wurde der Mangel des nicht selbständig eingereichten Asylgesuchs der Beschwerdeführerin im erstinstanzlichen Verfahren geheilt.</w:t>
      </w:r>
    </w:p>
    <w:p>
      <w:r>
        <w:rPr>
          <w:b/>
        </w:rPr>
        <w:t>E. 4.1</w:t>
      </w:r>
    </w:p>
    <w:p>
      <w:r>
        <w:t>Asylgesuche aus dem Ausland werden gemäss Art. 19 f. AsylG bei einer schweizerischen Vertretung im Ausland gestellt, die sie mit einem Bericht an das Bundesamt überweist. Die Vorinstanz hat die Eingabe des Beschwerdeführers 2 zu Recht als Asylgesuch aus dem Ausland entgegen genommen, obwohl das Gesuch nicht an eine schweizerische Vertretung im Ausland, sondern direkt ans BFM gerichtet war. Für Verfahren bei Asylgesuchen aus dem Ausland sieht Art. 10 der Asylverordnung 1 vom 11. August 1999 über Verfahrensfragen (AsylV 1, SR 142.311) vor, dass die schweizerische Vertretung im Ausland mit der asylsuchenden Person in der Regel eine Befragung durchführt. Davon kann nur abgewichen werden, wenn eine solche faktisch oder aus organisatorischen oder kapazitätsmässigen Gründen nicht möglich ist, oder wenn der Sachverhalt bereits aufgrund des eingereichten Asylgesuchs als entscheidreif erstellt erscheint. In diesen Fällen ist die asylsuchende Person mittels konkreter Fragen aufzufordern, ihre Asylgründe schriftlich festzuhalten (Art. 10 Abs. 2 AsylV 1). Das BFM hat den Verzicht auf eine Befragung im Ausland in der Verfügung zu begründen (vgl. zum Ganzen BVGE 2007/30 E. 5.8).</w:t>
      </w:r>
    </w:p>
    <w:p>
      <w:r>
        <w:rPr>
          <w:b/>
        </w:rPr>
        <w:t>E. 4.2</w:t>
      </w:r>
    </w:p>
    <w:p>
      <w:r>
        <w:t>Im vorliegenden Fall war die Botschaft in Khartum, Sudan, offenbar nicht in der Lage, eine Befragung der Beschwerdeführenden 1 durchzuführen. Das BFM begründete den Verzicht auf eine mündliche Befragung in der angefochtenen Verfügung mit dem begrenzten Personalbestand der Botschaft und fehlenden Voraussetzungen im sicherheitstechnischen und räumlichen Bereich. Die Beschwerdeführenden 1 nahmen über ihre Rechtsvertreterin mit Eingabe vom 7. Oktober 2011 zu den vom BFM gestellten Fragen Stellung. Damit erhielten die Beschwerdeführenden rechts­genügend Gelegenheit, ihre Asylgründe darzulegen und bei der Erhebung und Ergänzung des massgeblichen Sachverhalts mitzuwirken.</w:t>
      </w:r>
    </w:p>
    <w:p>
      <w:r>
        <w:rPr>
          <w:b/>
        </w:rPr>
        <w:t>E. 5.1</w:t>
      </w:r>
    </w:p>
    <w:p>
      <w:r>
        <w:t>Das BFM bewilligt Asylsuchenden die Einreise in die Schweiz zur Asylerteilung, wenn diese die entsprechenden Voraussetzungen erfüllen, oder zur Abklärung des Sachverhalts, wenn ihnen nicht zugemutet werden kann, im Wohnsitz- oder Aufenthaltsort zu bleiben oder in einen anderen Staat auszureisen (Art. 20 Abs. 2 AsylG). Unzumutbar ist ein Verbleib namentlich dann, wenn die asylsuchenden Personen schutzbedürftig sind.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Diese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EMARK 2006 Nr. 32 E. 8.7.1; vgl. auch die beispielhafte Nennung von frauenspezifischen Fluchtgründen in Art. 3 Abs. 2 AsylG). Als ernsthafte Nachteile gelten namentlich die Gefährdung von Leib, Leben oder Freiheit sowie Massnahmen, die einen unerträglichen psychischen Druck.</w:t>
      </w:r>
    </w:p>
    <w:p>
      <w:r>
        <w:rPr>
          <w:b/>
        </w:rPr>
        <w:t>E. 5.2</w:t>
      </w:r>
    </w:p>
    <w:p>
      <w:r>
        <w:t>Das BFM führte in der angefochtenen Verfügung an, aufgrund des vollständig erstellen Sachverhaltes könne davon ausgegangen werden, dass keine unmittelbare Gefährdung vorliege, die eine sofortige Einreise der Beschwerdeführenden 1 als notwendig erscheinen liesse. Die Ausführungen der Beschwerdeführenden liessen zwar darauf schliessen, dass die Beschwerdeführerin ernstzunehmende Schwierigkeiten mit den eritreischen Behörden gehabt habe. Da die Beschwerdeführenden 1 jedoch im Sudan als Flüchtlinge registriert seien, dürfen sie ihnen dort Schutz, Aufenthalt und medizinische Behandlung gewährt werden. Die von ihnen geltend gemachte Situation erscheine als überzeichnet, da sie im Sudan nahe Familienangehörige hätten, die über eine Aufenthaltsbewilligung verfügten und schon seit fünf Jahren im Sudan lebten. Auch der Umstand, dass die Beschwerdeführerin Christin sei, belege keine ernsthafte Verfolgungsgefahr im Sudan. Schliesslich sei die Befürchtung, die Beschwerdeführenden 1 könnten in ihren Heimatstaat zurückgeschafft werden, klar unbegründet. Zwar sei mit dem Beschwerdeführer 2 ein Anknüpfungspunkt zur Schweiz gegeben. Dieser sei allerdings nicht derart gewichtig, dass eine Abwägung der Gesamtumstände dazu führen müsste, dass es gerade die Schweiz sei, die den erforderlichen Schutz gewähren sollte.</w:t>
      </w:r>
    </w:p>
    <w:p>
      <w:r>
        <w:rPr>
          <w:b/>
        </w:rPr>
        <w:t>E. 5.3</w:t>
      </w:r>
    </w:p>
    <w:p>
      <w:r>
        <w:t>In der Beschwerde wurde neu vorgebracht, die Beschwerdeführenden 1 seien entgegen den bisherigen Vorbringen nicht im Juni 2006, sondern erst im April 2011 in den Sudan geflüchtet. Der Beschwerdeführer 2 habe in Italien von Landsleuten den Ratschlag erhalten, diese Aussagen zu machen, und sei aufgrund seiner gesundheitlichen Verfassung nicht in der Lage gewesen, diesen Rat kritisch zu hinterfragen. Als Beleg dafür, dass die Beschwerdeführenden 1 erst im April 2011 in den Sudan geflüchtet seien, verwiesen sie auf den Briefumschlag, mit dem die Zivil­standsdokumente und Fotos im Dezember 2010 in D._______ [Ort in Eritrea] der Post übergeben und in die Schweiz geschickt worden seien. Im Übrigen hielten die Beschwerdeführenden an ihren Aussagen im erstinstanzlichen Verfahren fest. In Bezug auf ihre Ausreise aus Eritrea führten sie aus, die Beschwerdeführenden 1 wären bei einer Rückkehr nach Eritrea einer asylrelevanten Gefährdung ausgesetzt. Die Beschwerdeführerin sei aufgrund der Regimekritik ihres Mannes ebenfalls vom eritreischen Staat gesucht worden. Deshalb habe sie kurz nach der Flucht ihres Ehemannes ihren Wohnort verlassen müssen und sei mit ihrem Sohn zu ihren im nahe der sudanesischen Grenze gelegenen Ort E._______ wohnhaften Schwiegereltern geflüchtet, wo sie bis April 2011 geblieben sei und sich versteckt habe. Sie habe weder arbeiten noch sich frei bewegen können und sei gänzlich auf die Hilfe der Schwiegereltern angewiesen gewesen, was für sie nur sehr schwer ertragbar gewesen sei. Da sie bis zu diesem Zeitpunkt keine Informationen von ihrem Ehemann gehabt habe, sei sie zusammen mit dem Kind erst im April 2011 in den Sudan geflüchtet.</w:t>
      </w:r>
    </w:p>
    <w:p>
      <w:r>
        <w:rPr>
          <w:b/>
        </w:rPr>
        <w:t>E. 5.4</w:t>
      </w:r>
    </w:p>
    <w:p>
      <w:r>
        <w:t>In seiner Vernehmlassung brachte das BFM vor, in der Beschwerdeschrift würden mehrere frühere Angaben ohne Beweismittel oder überzeugende Gründe korrigiert. Deshalb müsse davon ausgegangen werden, dass die Beschwerdeführenden nachträglich den Sachverhalt an die Begründung des BFM angepasst hätten.</w:t>
      </w:r>
    </w:p>
    <w:p>
      <w:r>
        <w:rPr>
          <w:b/>
        </w:rPr>
        <w:t>E. 5.5</w:t>
      </w:r>
    </w:p>
    <w:p>
      <w:r>
        <w:t>Die Beschwerdeführenden entgegneten in ihrer Replik, sie hätten ein­gehend und nachvollziehbar dargelegt, wieso der Beschwerdeführer 2 die falschen Aussagen gemacht habe, und das aus D._______ geschickte Couvert belege, dass die Beschwerdeführenden 1 sich zu diesem Zeitpunkt noch in Eritrea aufgehalten hätten.</w:t>
      </w:r>
    </w:p>
    <w:p>
      <w:r>
        <w:rPr>
          <w:b/>
        </w:rPr>
        <w:t>E. 6</w:t>
      </w:r>
    </w:p>
    <w:p>
      <w:r>
        <w:t>In einem ersten Schritt ist zu prüfen, ob den Beschwerdeführenden 1 bei einer Rückkehr nach Eritrea eine asylrelevante Gefährdung droht.</w:t>
      </w:r>
    </w:p>
    <w:p>
      <w:r>
        <w:rPr>
          <w:b/>
        </w:rPr>
        <w:t>E. 6.1</w:t>
      </w:r>
    </w:p>
    <w:p>
      <w:r>
        <w:t>Zunächst ist festzustellen, dass die Beschwerdeführenden auf Beschwerdeebene den Sachverhalt, auf den sie sich berufen, in rechtserheblicher Weise verändert haben. Aufgrund des Umstandes, dass der Flüchtlingsausweis der Beschwerdeführerin vom 25. Juli 2011 datiert und sie dem Beschwerdeführer 2 im Dezember 2010 aus D._______ Fotos und Zivilstandsdokumente schickte (durch das Couvert mit Poststempel belegt), erscheint glaubhaft, dass sich die Beschwerdeführenden 1 bis im April 2011 in Eritrea aufhielten und erst dann in den Sudan gelangten. Die Beschwerdeführenden begründen nicht, inwiefern der rechtserhebliche Sachverhalt nicht vollständig abgeklärt sei. Der Antrag auf Rückweisung der Sache zur Vervollständigung des Sachverhaltes und zur Neubeurteilung ist daher abzulehnen.</w:t>
      </w:r>
    </w:p>
    <w:p>
      <w:r>
        <w:rPr>
          <w:b/>
        </w:rPr>
        <w:t>E. 6.2</w:t>
      </w:r>
    </w:p>
    <w:p>
      <w:r>
        <w:t>Weder den verschiedenen Aussagen noch den weiteren Akten sind glaubhafte Hinweise dafür zu entnehmen, dass die Beschwerdeführenden 1 in Eritrea einer asylrechtlich relevanten Verfolgung ausgesetzt waren. Der Beschwerdeführer 2 verliess Eritrea gemäss eigenen Angaben im Januar 2006 und gelangte in den Sudan. Mit Verfügung vom 20. Sep­tember 2010 erkannte das BFM seine Vorbringen bezüglich der Fluchtgründe (Verfolgung durch Soldaten nach einer kritischen Frage an einer Lehrerkonferenz zur Sprachenpolitik des Regimes) als unglaubhaft und lehnte sein Asylgesuch ab. Das Bundesverwaltungsgericht bestätigte die Unglaubhaftigkeit der Fluchtgründe und die Abweisung des Asylgesuchs mit Urteil vom 30. August 2011. Damit können auch die Vorbringen der Beschwerdeführerin, sie sei aufgrund der Regimekritik ihres Ehemannes einer Reflexverfolgung ausgesetzt gewesen, nicht wahr sein, zumal sich in den Darstellungen Widersprüche ergeben: Während die Beschwerdeführerin vorbrachte, fünf Tage nach dem Weggang ihres Mannes seien Militärangehörige in der Schule gekommen und hätten sie verhaften wollen, was ihnen aber nicht gelungen sei, da sie vorher gewarnt worden sei (BFM-Akte B4 S. 2), hatte der Beschwerdeführer in seiner Anhörung (BFM-Akte A47 S. 7 f.) nur gesagt, dass Soldaten einmal nach ihm gesucht, seine Ehefrau befragt und darauf das Haus wieder verlassen hätten. Damit ist es nicht glaubhaft, dass die Beschwerdeführenden 1 aufgrund des (angeblichen) Verhaltens des Beschwerdeführers 2 vor dessen Ausreise aus Eritrea einer Reflexverfolgung ausgesetzt waren. Die Beschwerdeführerin machte zudem weder im erstinstanzlichen Verfahren noch auf Beschwerdeebene geltend, sie sei aufgrund der illegalen Ausreise ihres Ehemannes Verfolgungsmassnahmen der eritreischen Be­hörden ausgesetzt gewesen. Schliesslich lebten die Beschwerdeführenden 1 ihren Angaben auf Beschwerdeebene zufolge nach der Ausreise des Beschwerdeführers 2 während fünf Jahren in Eritrea. Für diese Zeit machen sie keine konkrete Verfolgungshandlungen geltend. Damit konnten die Beschwerdeführenden 1 keine asylrelevanten Verfolgung durch die eritreischen Behörden vor ihrer Ausreise glaubhaft machen.</w:t>
      </w:r>
    </w:p>
    <w:p>
      <w:r>
        <w:rPr>
          <w:b/>
        </w:rPr>
        <w:t>E. 6.3</w:t>
      </w:r>
    </w:p>
    <w:p>
      <w:r>
        <w:t>Die Beschwerdeführerin hat ihr Heimatland illegal verlassen. Ihr droht deswegen bei einer Rückkehr Verfolgung, nämlich eine Freiheitsstrafe bis zu fünf Jahren (vgl. Urteil des Bundesverwaltungsgerichts E-3892/2008, E. 5.3.2 f.). Dabei würde es sich jedoch um einen subjektiven Nachfluchtgrund i.S. von Art. 54 AsylG handeln, weshalb gestützt darauf im Hinblick auf die auszusprechende Wegweisung keine Einreisebewilligung erteilt werden könnte (vgl. BVGE 2011/10 E. 7).</w:t>
      </w:r>
    </w:p>
    <w:p>
      <w:r>
        <w:rPr>
          <w:b/>
        </w:rPr>
        <w:t>E. 6.4</w:t>
      </w:r>
    </w:p>
    <w:p>
      <w:r>
        <w:t>Den Beschwerdeführenden 1 ist es mithin nicht gelungen ist, eine asylrelevante Verfolgung in Eritrea glaubhaft zu machen. Damit erübrigt sich eine Prüfung der weiteren Voraussetzungen der Erteilung einer Einreisebewilligung im asylrechtlichen Auslandsverfahren. Das Gesuch um Bewilligung der Einreise zur Durchführung eines Asylverfahrens und das Asylgesuch aus dem Ausland wurden vom BFM zu Recht abgelehnt.</w:t>
      </w:r>
    </w:p>
    <w:p>
      <w:r>
        <w:rPr>
          <w:b/>
        </w:rPr>
        <w:t>E. 7</w:t>
      </w:r>
    </w:p>
    <w:p>
      <w:r>
        <w:t>Der Nachzug von Familienangehörigen vorläufig aufgenommener Flüchtlinge wird in den Art. 85 Abs. 7 AuG und Art. 51 Abs. 4 i.V.m. Abs. 1 und 2 AsylG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Das asylrechtliche Erfordernis der Trennung durch die Flucht ist gemäss der grundsätzlich vom Bundesverwaltungsgericht weitergeführten Praxis der Schweizerischen Asylrekurskommission (ARK) einzig im Falle von missbräuchlicher Eheschliessung zum Zweck der Erlangung einer Einreisebewilligung in analoger Weise anwendbar (EMARK 2006 Nr. 7 E. 6). Darüber hinaus hat allerdings auch zu gelten, dass ein vorläufig aufgenommener Flüchtling bezüglich des Familienasyls nicht besser gestellt werden darf als ein Flüchtling, der Asyl erhalten hat. Der Beschwerdeführer 2 wurde mit Verfügung vom 20. September 2010 in der Schweiz vorläufig aufgenommen (und nicht erst - wie das BFM fälschlicherweise ausführt - mit Verfügung vom 7. September 2011). Die Dreijahresfrist ist damit noch nicht verstrichen, weshalb (vorläufig) darauf verzichtet werden kann, die übrigen Voraussetzungen zu prüfen. Der Antrag auf Bewilligung der Einreise zum Zwecke des Familiennachzugs wurde damit vom BFM zu Recht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grundsätzlich den Beschwerdeführenden aufzuerlegen (Art. 63 Abs. 1 und 5 VwVG). Da ihnen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