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E-688/2017 vom 6. März 2017</w:t>
      </w:r>
    </w:p>
    <w:p>
      <w:r>
        <w:t>Bundesverwaltungsgericht, 2017-03-06, DE</w:t>
      </w:r>
    </w:p>
    <w:p>
      <w:r>
        <w:rPr>
          <w:b/>
        </w:rPr>
        <w:t xml:space="preserve">Quelle: </w:t>
      </w:r>
      <w:r>
        <w:t>https://mcp.opencaselaw.ch/entscheid/bvger_E-688_2017</w:t>
      </w:r>
    </w:p>
    <w:p>
      <w:r>
        <w:t>FR: TAF E-688/2017 du 6 mars 2017</w:t>
      </w:r>
    </w:p>
    <w:p>
      <w:r>
        <w:t>IT: TAF E-688/2017 del 6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vorbehältlich der Erwägung 3,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Bei Beschwerden gegen den Asylentscheid ist die Beurteilungskompetenz der Beschwerdeinstanz grundsätzlich auf die Frage beschränkt, ob die Vorinstanz das Asylgesuch zu Recht abgelehnt hat und die Wegweisung rechtmässig angeordnet wurde. Soweit der Beschwerdeführer die Festsetzung seines Geburtsdatums auf den 1. Januar 2000 begehrt, erweitert er den Streitgegenstand, was unzulässig ist. Insoweit ist auf die Beschwerde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(Art. 3 Abs. 2 AsylG).</w:t>
      </w:r>
    </w:p>
    <w:p>
      <w:r>
        <w:rPr>
          <w:b/>
        </w:rPr>
        <w:t>E. 4.3</w:t>
      </w:r>
    </w:p>
    <w:p>
      <w:r>
        <w:t>Der Beschwerdeführer beantragt in seiner Beschwerde die Aufhebung der angefochtenen Verfügung, setzt sich darin aber nicht ansatzweise mit der seitens der Vorinstanz monierten fehlenden Asylrelevanz seiner Vorbringen auseinander. Stattdessen bringt er auf Beschwerdeebene neu vor, die Taliban hätten seinen Vater mitgenommen, was ihm seine Mutter, um ihn zu schonen, zunächst verschwiegen habe. Er wisse nicht, ob die Taliban für ihn und seine Familie eine Gefahr darstellten oder nicht. Bei diesem neuen Vorbringen handelt es sich zunächst um eine unbelegte Behauptung an welche der Beschwerdeführer sodann diffuse Vermutungen knüpft. Es ist nicht geeignet, die vorinstanzlichen Erwägungen umzustossen. Jedenfalls ist nicht ersichtlich, weshalb der Beschwerdeführer bei seiner Rückkehr von den Taliban bedroht werden sollte, hat er doch gemäss eigenen Aussagen seit seiner Rückkehr aus dem Iran während eineinhalb Jahren keine Probleme mehr mit ihnen gehabt (vgl. Akten des Asylverfahren A19/18; F67). Auch der Auffassung der Vorinstanz, es fehle seinen Vorbringen in der Anhörung an Asylrelevanz, ist vollumfänglich zuzustimmen. Die Vorinstanz hat zutreffend festgestellt, dass es sich bei dem Zwischenfall mit den Nachbarsjungen um ein rein privates Problem handelte und es nach seiner Rückkehr aus dem Iran in diesem Zusammenhang zu keinen weiteren Vorfällen mehr gekommen ist (vgl. Akten des Asylverfahrens A19/18, F67). Die Vorinstanz hat die Flüchtlingseigenschaft des Beschwerdeführers zu Recht verneint.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 Für Wegweisungsvollzugshindernisse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Unzulässigkeit des Wegweisungsvollzugs wegen einer drohenden Misshandlung bzw. einer Gefährdung von Leib und Leben wird in der Praxis in der Regel nicht aus dem Blickwinkel von Art. 2 EMRK, sondern aus demjenigen von Art. 3 EMRK geprüft (vgl. zuletzt Urteil des EGMR S.D.M. v. Schweden vom 12. Januar 2016, 8161/07, § 57 m.w.H.). Damit der Geltungsbereich von Art. 3 EMRK eröffnet ist, muss die beim Wegweisungsvollzug drohende unmenschliche Behandlung einen minimalen Schweregrad erreichen. Gemäss der Praxis des Europäischen Gerichtshofes für Menschenrechte (EGMR) sowie jener des UN-Anti-Folterausschusses muss der Beschwerdeführer eine konkrete Gefahr («real risk») nachweisen oder glaubhaft machen, dass ihm im Fall einer Rückschiebung Folter oder unmenschliche Behandlung drohen würde (vgl. Urteil des EGMR Saadi gegen Italien vom 28. Februar 2008, Grosse Kammer 37201/06, §§ 124-127 m.w.H.). Art. 3 EMRK kann dem Wegweisungsvollzug auch dann entgegenstehen, wenn die zu befürchtende Misshandlung nicht von staatlichen Institutionen droht, sondern von Privaten, sofern ausgeschlossen scheint, dass die Behörden einen wirksamen Schutz gewährleisten können (vgl. Urteil des BVGer D-5101/2006 vom 11. Februar 2009, E. 4.2; Meyer-Ladewig, Handkommentar zur EMRK, 3. Aufl., Baden-Baden 2011, Art. 3 N 72). Der Europäische Gerichtshof für Menschenrechte (EGMR) hält in steter Praxis fest, dass die allgemeine Sicherheitslage in Afghanistan für sich genommen nicht die Annahme zulässt, dass eine dorthin zurückkehrende Person einer konkreten Gefahr von Folter oder unmenschlicher Behandlung ausgesetzt wäre (vgl. Urteil des EGMR H. und B. gegen Vereinigtes Königreich vom 9. April 2013, 70073/10 und 44539/11, §§ 92-93, zuletzt bestätigt im Urteil des EGMR M.R.A. und andere gegen Niederlande vom 12. Januar 2016, 46856/07, § 112). In Einklang mit dieser Rechtsprechung ist nicht davon auszugehen, dass die Wegweisung des Beschwerdeführers nach Afghanistan allein aufgrund der dortigen allgemeinen Sicherheitslage unzulässig wäre. Zudem sind keine individuelle Risikofaktoren ersichtlich, welche erwarten lassen würden, dass er für den Fall einer Ausschaffung nach Afghanistan dort mit beachtlicher Wahrscheinlichkeit einer nach Art. 3 EMRK oder Art. 1 FoK verbotenen Strafe oder Behandlung ausgesetzt wäre. Der Vollzug der Wegweisung ist damit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Der Beschwerdeführer macht geltend, gemäss Grundsatzurteil BVGE 2011/38 sei einzig der Wegweisungsvollzug in die Grossstadt Herat zumutbar. Die Wegweisung in den Grossraum Herat sei hingegen nicht zulässig, weshalb die Rücküberstellung nach B._______ nicht zumutbar sei. Zudem sei eine Wegweisung in die Stadt Herat nur zumutbar, wenn begünstigende Umstände vorlägen. Er habe vor kurzem erfahren, dass es in seiner Heimat zu Problemen zwischen seinem Vater und den Taliban gekommen sei. Sein Vater sei von den Taliban geholt worden, weshalb seine Mutter und seine Geschwister nun bei einer Familie in Herat leben würden. Die gesamte Familie müsse dort in einem Zimmer leben. Da von seiner Familie momentan niemand einer Erwerbstätigkeit nachgehe, würden sie nur dank seiner finanziellen Unterstützung ihren Unterhalt bestreiten können. Er habe in Herat somit weder ein tragfähiges Beziehungsnetz noch eine gesicherte Wohnsituation. Zudem sei die finanzielle Lage prekär.</w:t>
      </w:r>
    </w:p>
    <w:p>
      <w:r>
        <w:rPr>
          <w:b/>
        </w:rPr>
        <w:t>E. 6.3.2</w:t>
      </w:r>
    </w:p>
    <w:p>
      <w:r>
        <w:t>In Bezug auf die Zumutbarkeit des Wegweisungsvollzugs nach Herat ist auf das Grundsatzurteil BVGE 2011/38 zu verweisen. Obwohl gegenüber der Lageanalyse im BVGE 2011/38 von einem Anstieg der Kriminalität auszugehen ist, lassen die jüngeren Berichte nicht den Schluss auf eine Situation allgemeiner Gewalt zu, weshalb die im Grundsatzentscheid verankerte Praxis weiterhin Gültigkeit hat (vgl. zuletzt Urteil des BVGer E- 5685/2016 vom 29. September 2016, E. 5.3.1 m.w.H.). Darin wurde festgehalten, angesichts des Umstandes, dass die Situation in Herat verhältnismässig ruhig sei, in der Stadt selbst keine Aktivitäten bewaffneter Gruppen zu verzeichnen seien und sich die Lage ähnlich wie in Kabul präsentiere, könne die Zumutbarkeit des Wegweisungsvollzugs unter begünstigenden Umständen bejaht werden. Aufgrund der konstanten Verschlechterung der Lage über die vergangenen Jahre hinweg und der auch in Herat schwierigen Situation verstehe es sich aber von selbst, dass die bereits in EMARK 2003 Nr. 10 formulierten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(a.a.O., E. 4.3.3.1 und 4.3.3.2 S. 818 ff.).</w:t>
      </w:r>
    </w:p>
    <w:p>
      <w:r>
        <w:rPr>
          <w:b/>
        </w:rPr>
        <w:t>E. 6.3.3</w:t>
      </w:r>
    </w:p>
    <w:p>
      <w:r>
        <w:t>Gemäss Ausführungen des Beschwerdeführers in der Rechtsmitteleingabe ist seine Familie in der Zwischenzeit von dem in der Provinz Herat liegenden Dorf B._______ in die Stadt Herat gezogen. Eine Wegweisung ist somit - unter Vorbehalt begünstigender Umstände - zumutbar. Die Vorinstanz hat diesbezüglich zutreffend festgehalten, beim Beschwerdeführer handle es sich um einen jungen und gesunden Mann, welcher sieben Jahre die Religionsschule besucht und zudem in seiner Heimat als Automechaniker gearbeitet hat (vgl. Akten des Asylverfahrens A 19/18; F44, F50). Überdies wird der Beschwerdeführer im Falle einer Rückkehr auf ein tragfähiges soziales und familiäres Netz zurückgreifen können. Nebst seiner Kernfamilie leben in Herat zwei Tanten und ein Onkel vs. mit ihren Familien. Es ist davon auszugehen, dass er auf deren Unterstützung zählen kann (vgl. Akten des Asylverfahrens A 19/18; F53, F76). Die Vorinstanz hat des Weiteren auf die Möglichkeit hingewiesen, ihm auf Antrag hin Rückkehrhilfe zu leisten. Es besteht vor diesem Hintergrund kein Anlass für die Annahme, der Beschwerdeführer gerate nach einer Rückkehr nach Herat in eine seine Existenz bedrohende Situation. Der Vollzug der Wegweisung erweist sich nach dem Gesagten auch als zumutbar.</w:t>
      </w:r>
    </w:p>
    <w:p>
      <w:r>
        <w:rPr>
          <w:b/>
        </w:rPr>
        <w:t>E. 6.4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6.5</w:t>
      </w:r>
    </w:p>
    <w:p>
      <w:r>
        <w:t>Zusammenfassend hat die Vorinstanz den Wegweisungsvollzug zu Recht als zulässig, zumutbar und möglich bezeichnet. Eine Anordnung der vorläufigen Aufnahme fällt somit ausser Betracht (Art. 83 Abs. 1 - 4 AuG).</w:t>
      </w:r>
    </w:p>
    <w:p>
      <w:r>
        <w:rPr>
          <w:b/>
        </w:rPr>
        <w:t>E. 7</w:t>
      </w:r>
    </w:p>
    <w:p>
      <w:r>
        <w:t>Aus diesen Erwägungen ergibt sich, dass die angefochtene Verfügung Bundesrecht nicht verletzt und auch sonst nicht zu beanstanden ist (Art. 106 Abs. 1 AsylG). Die Beschwerde ist abzuweisen, soweit darauf einzutreten ist.</w:t>
      </w:r>
    </w:p>
    <w:p>
      <w:r>
        <w:rPr>
          <w:b/>
        </w:rPr>
        <w:t>E. 8.1</w:t>
      </w:r>
    </w:p>
    <w:p>
      <w:r>
        <w:t>Der Beschwerdeführer beantragt die Gewährung der unentgeltlichen Prozessführung gemäss Art. 65 Abs. 1 VwVG sowie die Bestellung eines amtlichen Rechtsbeistands gemäss Art. 110a AsylG</w:t>
      </w:r>
    </w:p>
    <w:p>
      <w:r>
        <w:rPr>
          <w:b/>
        </w:rPr>
        <w:t>E. 8.2</w:t>
      </w:r>
    </w:p>
    <w:p>
      <w:r>
        <w:t>. Aus den vorstehenden Erwägungen ergibt sich, dass seine Begehren als aussichtslos zu gelten haben. Damit ist eine der kumulativ zu erfüllenden Voraussetzungen nicht gegeben, weshalb den Gesuchen nicht stattzugeben ist.</w:t>
      </w:r>
    </w:p>
    <w:p>
      <w:r>
        <w:rPr>
          <w:b/>
        </w:rPr>
        <w:t>E. 8.3</w:t>
      </w:r>
    </w:p>
    <w:p>
      <w:r>
        <w:t>Bei diesem Ausgang des Verfahrens sind die Kosten von Fr. 600.- (Art. 1-3 des Reglements vom 21. Februar 2008 über die Kosten und Entschädigungen vor dem Bundesverwaltungsgericht [VGKE], SR 173.320.2) dem Beschwerdeführer aufzuerlegen (Art. 63 Abs. 1 VwVG).</w:t>
      </w:r>
    </w:p>
    <w:p>
      <w:r>
        <w:rPr>
          <w:b/>
        </w:rPr>
        <w:t>E. 8.4</w:t>
      </w:r>
    </w:p>
    <w:p>
      <w:r>
        <w:t>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