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E-6876/2015 vom 28. Januar 2016</w:t>
      </w:r>
    </w:p>
    <w:p>
      <w:r>
        <w:t>Bundesverwaltungsgericht, 2016-01-28, DE</w:t>
      </w:r>
    </w:p>
    <w:p>
      <w:r>
        <w:rPr>
          <w:b/>
        </w:rPr>
        <w:t xml:space="preserve">Quelle: </w:t>
      </w:r>
      <w:r>
        <w:t>https://mcp.opencaselaw.ch/entscheid/bvger_E-6876_2015</w:t>
      </w:r>
    </w:p>
    <w:p>
      <w:r>
        <w:t>FR: TAF E-6876/2015 du 28 janvier 2016</w:t>
      </w:r>
    </w:p>
    <w:p>
      <w:r>
        <w:t>IT: TAF E-6876/2015 del 28 gennaio 2016</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Der rubrizierte Rechtsvertreter hat, entgegen seiner Angabe in der Beschwerdeschrift (S. 2 und 8) keine Vollmacht beigelegt. Die in den vorin­stanzlichen Akten liegende, vom in der Schweiz lebenden Sohn der Beschwerdeführerin unterschriebene Vollmacht vom 31. Mai 2011 (SEM-Akten, A7/3) an fünf Mitarbeitende der Zürcher Beratungsstelle für Asylsuchende enthält keine Substitutionsvollmacht an den rubrizierten Rechtsvertreter. Dennoch ist das Vertretungsverhältnis aufgrund dessen Kenntnisse von der Rechtssache und dem offenbar bestehenden Kontakt mit der Beschwerdeführerin (vgl. SEM-Akten, A19/3) als gegeben anzunehmen (vgl. Art. 11 Abs. 2 VwVG e contrario). Auf die frist- und im Übrigen formgerecht eingereichte Beschwerde (Art. 108 Abs. 1 AsylG und Art. 52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rügt eine Verletzung des Untersuchungsgrundsatzes sowie des rechtlichen Gehörs. Sowohl bei den Interviews als auch im Entscheid sei die asylrelevante Verfolgung ihres in der Schweiz wohnhaften Sohnes nicht rechtsgenüglich behandelt worden. Zudem wäre die Vorinstanz gehalten gewesen, weitere Untersuchungsmassnahmen im Sinne einer ergänzenden Anhörung oder Abklärungen vor Ort zu treffen.</w:t>
      </w:r>
    </w:p>
    <w:p>
      <w:r>
        <w:rPr>
          <w:b/>
        </w:rPr>
        <w:t>E. 3.2</w:t>
      </w:r>
    </w:p>
    <w:p>
      <w:r>
        <w:t>Diese Rüge geht fehl. Die Beschwerdeführerin übersieht, dass die Vor­instanz eine asylrelevante Verfolgung der Beschwerdeführerin und ihrer Kinder nicht ausschliesst, eine solche jedoch nicht abschliessend prüft, weil es ihnen zumutbar sei, in Äthiopien zu bleiben und sie den zusätzlichen Schutz der Schweiz demnach nicht mehr benötigen würden. Weitere Abklärungen zu den Fluchtgründen, wie sie die Beschwerdeführerin auf Beschwerdeebene fordert, sind somit nicht notwendig. Dass die Vorinstanz den rechtserheblichen Sachverhalt bezüglich der Zumutbarkeit eines Verbleibs in Äthiopien falsch oder nicht vollständig festgestellt hat, wird von ihr nicht geltend gemacht.</w:t>
      </w:r>
    </w:p>
    <w:p>
      <w:r>
        <w:rPr>
          <w:b/>
        </w:rPr>
        <w:t>E. 3.3</w:t>
      </w:r>
    </w:p>
    <w:p>
      <w:r>
        <w:t>Zusammenfassend liegt weder eine Verletzung des Untersuchungsgrundsatzes noch des rechtlichen Gehörs vor. Für eine Rückweisung der Sache an die Vorinstanz besteht nach dem Gesagten kein Anlass.</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5.1</w:t>
      </w:r>
    </w:p>
    <w:p>
      <w:r>
        <w:t>Ein Asylgesuch kann gemäss aArt. 19 Abs. 1 AsylG im Ausland bei einer Schweizerischen Vertretung gestellt werden, die es mit einem Bericht an das Bundesamt überweist (aArt. 20 Abs. 1 AsylG).</w:t>
      </w:r>
    </w:p>
    <w:p>
      <w:r>
        <w:rPr>
          <w:b/>
        </w:rPr>
        <w:t>E. 5.2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5.4</w:t>
      </w:r>
    </w:p>
    <w:p>
      <w:r>
        <w:t>Einer Person, die sich im Ausland befindet, kann das Asyl verweigert werden, wenn es ihr zugemutet werden kann, sich in einem anderen Staat um Aufnahme zu bemühen (aArt. 52 Abs. 2 AsylG). Diese Bestimmung trifft keine Unterscheidung zwischen Asylgesuchen aus dem Herkunftsland der asylsuchenden Person und solchen, die aus einem Drittstaat gestellt werden. Hält sich die um Asyl ersuchende Person in einem Drittstaat auf, ist im Sinne einer Vermutung davon auszugehen, die betreffende Person habe in diesem Drittstaat bereits Schutz vor Verfolgung gefunden oder könne ihn dort erlangen, weshalb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als auch die Zumutbarkeit der Inanspruchnahme des Schutzes im Drittstaat als unzutreffend erweisen.</w:t>
      </w:r>
    </w:p>
    <w:p>
      <w:r>
        <w:rPr>
          <w:b/>
        </w:rPr>
        <w:t>E. 6.1</w:t>
      </w:r>
    </w:p>
    <w:p>
      <w:r>
        <w:t>Die Vorinstanz führt zur Begründung der angefochtenen Verfügung aus, es könne nicht ausgeschlossen werden, dass die Beschwerdeführerin und ihre beiden Söhne aufgrund der Rekrutierungsversuche durch die Al-Shabaab im Zeitpunkt der Ausreise ernsthafte Nachteile im Sinne von Art. 3 AsylG zu befürchten hatten. Es liege jedoch ein Asylausschlussgrund (aArt. 52 Abs. 2 AsylG) vor. Es sei der Beschwerdeführerin und ihren Kindern zumutbar, in Äthiopien zu verbleiben, da sie den subsidiären Schutz der Schweiz nicht benötigen würden. Alleine die Anwesenheit eines Verwandten in der Schweiz bedeute noch keine derart enge Bindung mit der Schweiz, dass die Zumutbarkeit, sich in Äthiopien um Aufnahme zu bemühen, verneint werden müsste.</w:t>
      </w:r>
    </w:p>
    <w:p>
      <w:r>
        <w:rPr>
          <w:b/>
        </w:rPr>
        <w:t>E. 6.2</w:t>
      </w:r>
    </w:p>
    <w:p>
      <w:r>
        <w:t>Die Beschwerdeführerin wendet dagegen ein, sie stehe in regem Kontakt mit ihrem in der Schweiz wohnhaften Sohn E._______. Die Geschwister würden trotz der geographischen Entfernung viel voneinander wissen. In Äthiopien sei die Familie auf sich alleine gestellt, da alle verbleibenden Verwandten in Somalia leben würden. Komischerweise spreche die Vorinstanz von der Aufnahmesituation im Sudan, was auf die Verwendung eines Textbausteins schliessen lasse, womit der prekären Situation der Familie in Äthiopien keineswegs Rechnung getragen werde. Sie habe einzig zu ihrem in der Schweiz lebenden Sohn E._______ Kontakt. Die Einreise in die Schweiz sei für ihre Familie der letzte Hoffnungsschimmer, der Al-Shabaab zu entkommen.</w:t>
      </w:r>
    </w:p>
    <w:p>
      <w:r>
        <w:rPr>
          <w:b/>
        </w:rPr>
        <w:t>E. 6.3</w:t>
      </w:r>
    </w:p>
    <w:p>
      <w:r>
        <w:t>Die Beweiswürdigung der Vorinstanz ist nicht zu beanstanden, wobei ihr bei der Nennung des Sudans offensichtlich ein Schreibfehler unterlaufen ist, geht doch im Übrigen deutlich hervor, dass die vorinstanzliche Überprüfung der Situation der Beschwerdeführerin sich auf ihren Aufenthaltsstaat Äthiopien bezieht. Die Beschwerdeführerin setzt sich damit nicht ausreichend auseinander. Mit dem blossen Wiederholen des aktenkundigen Sachverhalts zeigt sie nicht auf, inwiefern die angefochtene Verfügung Bundesrecht verletzen oder den Sachverhalt rechtsfehlerhaft feststellen soll. Die Beschwerdeführerin und ihre Kinder benötigen den zusätzlichen Schutz der Schweiz nicht, weil es ihnen zuzumuten ist, in Äthiopien zu verbleiben. Dort halten sie sich seit ungefähr drei Jahren auf und sind offenbar ohne die Hilfe des UNHCR über die Runden gekommen. Für diesen Zeitraum haben sie keine Benachteiligungen seitens der äthiopischen Behörden im Sinne des Asylgesetzes angeführt. Weiter ist es ihnen bei Bedarf jederzeit zumutbar und möglich, sich in einem Lager des UNHCR als Flüchtlinge registrieren zu lassen. Dort werden sie Schutz vor Verfolgung und die notwendige Grundversorgung erhalten. Sodann stellt die Vor­instanz zutreffend fest, dass alleine die Anwesenheit ihres volljährigen Sohnes E._______, der Somalia bereits im Jahr 2008 verlassen hat, in der Schweiz an der Zumutbarkeit eines Verbleibs in Äthiopien nichts zu ändern vermag, da diese Verbindung nicht überwiegt. Der Beschwerdeführerin gelingt es nicht, die Vermutung, sie und ihre Kinder hätten in Äthiopien bereits Schutz gefunden, umzustossen.</w:t>
      </w:r>
    </w:p>
    <w:p>
      <w:r>
        <w:rPr>
          <w:b/>
        </w:rPr>
        <w:t>E. 6.4</w:t>
      </w:r>
    </w:p>
    <w:p>
      <w:r>
        <w:t>Zusammenfassend ist festzustellen, dass sich die Beschwerdeführerin nicht auf den Schutz der Schweiz berufen kann und ihr und ihren Kindern ein weiterer Verbleib in Äthiopien zumutbar im Sinne von aArt. 52 Abs. 2 AsylG ist. Die Vorinstanz hat ihr und ihren Kindern zu Recht die Einreise in die Schweiz nicht bewilligt und das Asylgesuch aus dem Ausland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Damit werden die Gesuche um Gewährung der unentgeltlichen Prozessführung und Verzicht auf die Erhebung eines Kostenvorschusses gegenstandslos. Da ihr Begehren als aussichtslos zu gelten hat, kann dem Antrag auf Beiordnung einer amtlichen Rechtsvertretung gemäss Art. 110a AsylG in Verbindung mit Art. 65 Abs. 2 VwVG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