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E-6861/2011 vom 25. Februar 2013</w:t>
      </w:r>
    </w:p>
    <w:p>
      <w:r>
        <w:t>Bundesverwaltungsgericht, 2013-02-25, DE</w:t>
      </w:r>
    </w:p>
    <w:p>
      <w:r>
        <w:rPr>
          <w:b/>
        </w:rPr>
        <w:t xml:space="preserve">Quelle: </w:t>
      </w:r>
      <w:r>
        <w:t>https://mcp.opencaselaw.ch/entscheid/bvger_E-6861_2011</w:t>
      </w:r>
    </w:p>
    <w:p>
      <w:r>
        <w:t>FR: TAF E-6861/2011 du 25 février 2013</w:t>
      </w:r>
    </w:p>
    <w:p>
      <w:r>
        <w:t>IT: TAF E-6861/2011 del 25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stellt den Hauptantrag, die angefochtene Verfügung sei wegen Verletzung formellen Rechts aufzuheben und die Sache zur Neubeurteilung, eventuell zur Feststellung des vollständigen und richtigen rechtserheblichen Sachverhaltes und zur Neubeurteilung, an das BFM zurückzuweisen. Die in diesem Zusammenhang erhobenen Rügen sind vorab zu prüfen,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 w. 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es ihren Entscheid stützt. Nicht erforderlich ist, dass sich die Begründung mit allen Parteistandpunkten einlässlich auseinandersetzt und jedes einzelne Vorbringen ausdrücklich widerlegt (vgl. BGE 136 I 184 E. 2.2.1 S. 188). Der Anspruch auf rechtliches Gehör ist formeller Natur, eine Verletzung desselben führt deshalb grundsätzlich - das heisst ungeachtet der materiellen Auswirkungen - zur Aufhebung des daraufhin ergangenen Entscheides (vgl. BVGE 2008/47 E. 3.3.4 S. 676 f., BVGE 2008/14 E. 4.1 S. 185, BVGE 2007/30 E. 8.2 S. 371, BVGE 2007/27 E. 10.1 S. 332). Die Heilung von Gehörsverletzungen aus prozessökonomischen Gründen ist auf Beschwerdeebene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w:t>
      </w:r>
    </w:p>
    <w:p>
      <w:r>
        <w:rPr>
          <w:b/>
        </w:rPr>
        <w:t>E. 3.3.1</w:t>
      </w:r>
    </w:p>
    <w:p>
      <w:r>
        <w:t>Zum Antrag, dem Beschwerdeführer sei vollständige Einsicht in die gesamten Asyl- und Vollzugsakten, insbesondere in den von der Vorinstanz in der angefochtenen Verfügung zitierten Dienstreisebericht vom Herbst 2010 und in allfällige weitere Lageanalysen (COI) des Bundesamtes zu Sri Lanka, zu gewähren, ist Folgendes festzuhalten: In der angefochtenen Verfügung wird zwar kein Dienstreisebericht erwähnt, es wird bloss angeführt, nach eingehender Überprüfung der Lage in Sri Lanka und insbesondere auch in Berücksichtigung der UNHCR-Richtlinien zur Feststellung des internationalen Schutzbedarfs sri-lan-kischer Asylsuchender vom 5. Juli 2010 sei das Bundesamt zum Schluss gekommen, dass sich die allgemeine Sicherheitslage seit Mait 2009 deutlich entspannt habe. Es sei ebenfalls festgestellt worden, dass sich die Lebensbedingungen soweit verbessert hätten, dass eine Rückkehr auch in den Norden und Osten Sri Lankas grundsätzlich wieder zumutbar sei. Andere Quellen werden nicht genannt. Es ist objektiv davon auszugehen, dass sich die Erkenntnisse des Bundesamts, welche zur Begründung der Praxisänderung hinsichtlich der Durchführbarkeit des Wegweisungsvollzugs herangezogen werden, auch auf das Ergebnis der Dienstreise vom Herbst 2010 stützen. So wird diese in anderen (vorher beurteilten) Verfahren ausdrücklich erwähnt. Mit anderen Worten stützt sich die angefochtene Verfügung in für den Entscheid wesentlicher Weise auf Erkenntnisse, welche aufgrund der Reise einer Delegation des BFM nach Sri Lanka gewonnen wurden. Ungeachtet dessen, ob in der angefochtenen Verfügung ein konkreter Bericht zur fraglichen Dienstreise und mithin ein spezifisches Aktenstück genannt wird, ist festzustellen, dass das aus dem verfassungsmässigen Anspruch auf rechtliches Gehör resultierende Recht des Beschwerdeführers auf Information über die wesentlichen Entscheidungsgrundlagen im vorliegenden Fall nicht ausreichend gewahrt worden ist. Das Bundesamt wäre unter dem Gesichtspunkt der Begründungspflicht gehalten gewesen, dem Beschwerdeführer diese Erkenntnisse mit angemessener Transparenz offenzulegen. Die knappe Wiedergabe lediglich der wichtigsten Schlussfolgerungen in der angefochtenen Verfügung wird dem Informationsanspruch des Beschwerdeführers nicht gerecht.</w:t>
      </w:r>
    </w:p>
    <w:p>
      <w:r>
        <w:rPr>
          <w:b/>
        </w:rPr>
        <w:t>E. 3.3.2</w:t>
      </w:r>
    </w:p>
    <w:p>
      <w:r>
        <w:t>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beziehungsweise als Grundlage für den Entscheid genannt werden. Unter Berufung auf das Akteneinsichtsrecht kann es somit nicht darum gehen, Zugang zu irgendwelchen nicht konkret benannten Dokumenten zu erlangen. 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3.3.3</w:t>
      </w:r>
    </w:p>
    <w:p>
      <w:r>
        <w:t>Aus dem Gesagten ergibt sich zusammenfassend, dass die Vorinstanz dem Beschwerdeführer zu Unrecht keine Einsicht in das Ergebnis der Dienstreise nach Sri Lanka vom September 2010 gewährt und da-durch seinen Anspruch auf rechtliches Gehör verletzt hat. Angesichts des Umstandes, dass der Instruktionsrichter dem Beschwerdeführer mit Verfügung vom 7. November 2012 mitteilte, der Bericht "Sri Lanka, Erkenntnisse der Dienstreise 5. bis 17. September 2010" vom 22. Dezember 2011 und die diesbezügliche Stellungnahme des Rechtsvertreters vom 23. Januar 2011 (recte: 2012) im Verfahren D-3747/2011 würden zu den Akten genommen, und ihm zusätzlich die Gelegenheit einräumte, innert Frist eine Ergänzung zu den Akten zu reichen, wovon dieser am 22. November 2012 Gebrauch machte, ist seinem Antrag auf Akteneinsicht und auf rechtliches Gehör entsprochen worden, womit der gerügte Verfahrensmangel als geheilt zu betrachten ist.</w:t>
      </w:r>
    </w:p>
    <w:p>
      <w:r>
        <w:rPr>
          <w:b/>
        </w:rPr>
        <w:t>E. 3.4.1</w:t>
      </w:r>
    </w:p>
    <w:p>
      <w:r>
        <w:t>In der Rechtsmittelschrift wird weiter vorgebracht, die Vorinstanz habe den Sachverhalt unvollständig abgeklärt, weil sie es unterlassen habe, den Beschwerdeführer nochmals anzuhören. Die Situation in Sri Lanka präsentiere sich heute - nach Beendigung des Bürgerkrieges - wesentlich anders als damals und dadurch möglicherweise auch die Gefährdungssituation des Beschwerdeführers. Angesichts des Grundsatzes, dass die Beurteilung der Flüchtlingseigenschaft stets vor dem Hintergrund der aktuellen Situation erfolgen müsse, hätte der Beschwerdeführer vor Erlass der angefochtenen Verfügung zwingend nochmals zu seiner asylrelevanten Gefährdungssituation angehört werden müssen.</w:t>
      </w:r>
    </w:p>
    <w:p>
      <w:r>
        <w:rPr>
          <w:b/>
        </w:rPr>
        <w:t>E. 3.4.2</w:t>
      </w:r>
    </w:p>
    <w:p>
      <w:r>
        <w:t>Bezüglich dieser Rüge ist festzuhalten, dass die Untersuchungspflicht der Behörden ihre Grenzen an der Mitwirkungspflicht eines Gesuchstellers findet (vgl. Art. 8 AsylG), der auch die Substanziierungslast trägt (vgl. Art. 7 AsylG). Aus den Akten ist ersichtlich, dass der Beschwerdeführer nach seiner letzten Befragung (Anhörung vom 7. Januar 2009) bis zum Ergehen der angefochtenen Verfügung keine Ereignisse zu Handen des Bundesamtes zu vermelden hatte, die es dazu hätte veranlassen müssen, neuerlich eine Anhörung mit ihm durchzuführen. An dieser Einschätzung ändert auch die Tatsache nichts, dass sich die Situation in Sri Lanka seit dem Ende des Bürgerkrieges erheblich geändert hat, zumal die Vorinstanz bezüglich dieser Veränderung ausreichend informiert ist. Nach dem Gesagten ist auch die Rüge, wonach die Vorinstanz den Sachverhalt unvollständig festgestellt habe, da der Beschwerdeführer nicht nochmals angehört worden sei, unbegründet.</w:t>
      </w:r>
    </w:p>
    <w:p>
      <w:r>
        <w:rPr>
          <w:b/>
        </w:rPr>
        <w:t>E. 3.5</w:t>
      </w:r>
    </w:p>
    <w:p>
      <w:r>
        <w:t>Schliesslich rügt der Beschwerdeführer, das Bundesamt habe den Sachverhalt weder vollständig noch richtig abgeklärt, da es das Grund-satzurteil des Bundesverwaltungsgerichtes 2011/24 vom 27. Oktober 2011 nicht berücksichtigt habe. Das BFM habe die dort aufgestellten Kriterien nicht beachtet und die notwendigen Sachverhaltsabklärungen nicht vorgenommen. Es trifft zwar zu, dass die Vorinstanz in der angefochtenen Verfügung bei der Prüfung der Flüchtlingseigenschaft nicht explizit auf das Grundsatzurteil Bezug nimmt. Daraus kann jedoch nicht geschlossen werden, es habe die diesbezügliche Rechtsprechung des Bundesverwaltungsgerichts nicht berücksichtigt. Das Bundesamt führte in seiner Verfügung vom 17. November 2011 aus, in den Schilderungen des Beschwerdeführers fänden sich keine Hinweise dafür, dass die sri-lankischen Behörden heute - mehr als zwei Jahre nach dem Ende des Bürgerkrieges - ein ernsthaftes Interesse daran haben sollten, gerade ihn zu verfolgen. Daraus ist ersichtlich, dass die Vorinstanz durchaus die Flüchtlingseigenschaft des Beschwerdeführers unter Berücksichtigung der in BVGE 2011/24 aufgeführten Risikoprofile geprüft hat. Die Rüge, sie habe das Profil des Beschwerdeführers und seine asylrelevante Gefährdung nicht korrekt erfasst und die notwendigen Abklärungen nicht getätigt, ist deshalb unbegründet.</w:t>
      </w:r>
    </w:p>
    <w:p>
      <w:r>
        <w:rPr>
          <w:b/>
        </w:rPr>
        <w:t>E. 3.6</w:t>
      </w:r>
    </w:p>
    <w:p>
      <w:r>
        <w:t>Bei dieser Sachlage besteht keine Veranlassung, die angefochtene Verfügung aus formellen Gründen aufzuheben, weshalb das Begehren des Beschwerdeführers, die Verfügung des BFM vom 17. November 2011 sei wegen Verletzung formellen Rechts aufzuheben und die Sache sei zur Neubeurteilung an das BFM zurückzuweisen, abzuweisen ist. An dieser Einschätzung ändert - entgegen der Behauptung in der Rechtsmittelschrift - auch der Umstand nichts, dass die angefochtene Verfügung unter einem Verfahrensmangel (unvollständige Gewährung der Akteneinsicht) litt, da der festgestellte Mangel nicht schwerwiegend ist und daher auf Beschwerdeebene geheilt werden konnte.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dass solche gezielt und aufgrund bestimmter Verfolgungsmotive durch Organe des Heimatstaates oder durch nichtstaatliche Akteure zugefügt zu werden drohen (vgl.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im Zeitpunkt der Ausreise vorhandene Verfolgung oder begründete Furcht vor einer solchen. Letztlich ist indessen der Zeitpunkt des Asylent-scheides massgeblich, das heisst, es ist zu prüfen, ob die Furcht vor einer absehbaren Verfolgung (noch) begründet ist. Dabei sind Verän-derungen der objektiven Situation im Heimatstaat zwischen Ausreise und Asylentscheid zugunsten und zulasten der asylsuchenden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Von entscheidender Relevanz ist vorliegend die neue Lagebeurteilung des Gerichts, wie sie im Grundsatzurteil BVGE 2011/24 (vom 27. Oktober 2011) einlässlich zur Darstellung gelangt. Gemäss diesem Urteil hat sich seit dem Ende des bewaffneten Konflikts die allgemeine Lage in Sri Lanka erheblich verbessert. Die Situation in der Ostprovinz hat sich weitgehend stabilisiert und normalisiert, so dass der Wegweisungsvollzug in das gesamte Gebiet der Ostprovinz als grundsätzlich zumutbar zu erachten ist (vgl. a.a.O. E. 13.1). Die Lage in der Nordprovinz ist gebietsweise sehr unterschiedlich. So herrscht in den Gebieten, die bereits seit längerer Zeit unter Regierungskontrolle stehen (die Nordprovinz unter Ausschluss des sogenannten Vanni-Gebietes), keine Situation allgemeiner Gewalt. Zudem ist die politische Lage nicht dermassen angespannt, dass eine Rückkehr dorthin als generell unzumutbar eingestuft werden müsste. Für Personen, die aus dem übrigen Staatsgebiet von Sri Lanka (die Provinzen North Central, North Western, Central, Wes­tern [namentlich Grossraum Colombo], Southern, Sabarugamuwa und die Uva-Provinz) stammen und dorthin zurückkehren, ist der Weg­wei­sungsvollzug grundsätzlich zumutbar (vgl. a.a.O. E.13.3).</w:t>
      </w:r>
    </w:p>
    <w:p>
      <w:r>
        <w:rPr>
          <w:b/>
        </w:rPr>
        <w:t>E. 5.2</w:t>
      </w:r>
    </w:p>
    <w:p>
      <w:r>
        <w:t>Gemäss diesem Grundsatzurteil sind Personen einer erhöhten Verfolgungsgefahr ausge­setzt, die gewissen Risikogruppen angehören. Zu diesen Risikogruppen gehören namentlich der politischen Opposition verdächtigte Personen, kritisch auftretende Journalisten und Medienschaffende, Menschenrechtsaktivisten und Vertreter regime­kritischer Nichtregierungsorganisationen, weiter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a.a.O. E. 8.1 bis 8.5).</w:t>
      </w:r>
    </w:p>
    <w:p>
      <w:r>
        <w:rPr>
          <w:b/>
        </w:rPr>
        <w:t>E. 5.3</w:t>
      </w:r>
    </w:p>
    <w:p>
      <w:r>
        <w:t>Weiter ist festzustellen, dass die LTTE vernichtend geschlagen worden sind und heute für eine Furcht vor einer Verfolgung durch diese kein Anlass mehr besteht. Der Beschwerdeführer gehört zu keiner der vorgenannten Risikogruppen. Eigenen Angaben zufolge ist er früher einmal aufgefordert worden, für die Organisation zu spionieren, Mitglied sei er jedoch nie geworden. Angesichts dieses Profils ist nicht davon auszugehen, er könnte in den Fokus der Sicherheitsbehörden geraten, selbst wenn er anlässlich der Einreise möglicherweise mit Fragen zu rechnen hat. Demnach ist nicht zu schliessen, der Beschwerdeführer könnte in Zukunft ernsthaften Nachteilen im Sinne von Art. 3 AsylG ausgesetzt sein.</w:t>
      </w:r>
    </w:p>
    <w:p>
      <w:r>
        <w:rPr>
          <w:b/>
        </w:rPr>
        <w:t>E. 5.4</w:t>
      </w:r>
    </w:p>
    <w:p>
      <w:r>
        <w:t>Mit dieser Feststellung erhellt, dass dem Beschwerdeführer nach Auffassung des Gerichts vor dem Hintergrund seiner neuen Lageanalyse im Falle einer Rückkehr nach Sri Lanka keine Verfolgung - von welcher Seite auch immer - droht. An dieser Einschätzung ändern auch die zahlreichen eingereichten Beweismittel nichts. Dies gilt insbesondere für die Vielzahl an eingereichten Berichten, die sich entweder zur allgemeinen Situation in Sri Lanka oder zu einzelnen Fällen von Menschenrechtsverletzungen äussern, indessen ohne konkreten Bezug zur Person des Beschwerdeführers und dessen individuellen Asylvorbringen sind. Wie vorstehend ausgeführt, hat das Gericht in BVGE 2011/24 eine eigene Lagebeurteilung vorgenommen, und es stützt sich auch vorliegend auf seine eigenen Erkenntnisse. Damit ergibt sich ohne weiteren Begründungsaufwand, dass das BFM zutreffend zum Schluss gekommen ist, der Beschwerdeführer habe kei­ne asylrelevante Verfolgung glaubhaft ge­macht und würde so­mit die Flüchtlingseigenschaft im Sinne des Art. 3 AsylG nicht erfüllen. Das Asylge­such wurde demnach zu Recht abgelehnt. 6.Lehnt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über die Ausländerinnen und Ausländer [AuG, SR 142.20]).</w:t>
      </w:r>
    </w:p>
    <w:p>
      <w:r>
        <w:rPr>
          <w:b/>
        </w:rPr>
        <w:t>E. 7.2</w:t>
      </w:r>
    </w:p>
    <w:p>
      <w:r>
        <w:t>Nach Art. 83 Abs. 3 AuG ist der Vollzug nicht zulässig, wenn völkerrechtliche Verpflichtungen der Schweiz einer Weiterreise des Ausländers in den Heimat-, Herkunfts- oder einen Drittstaat entgegenstehen. Da dem Beschwerdeführer keine Flüchtlingseigenschaft zukommt, ist das flüchtlingsrechtliche Rückschiebungsverbot von Art. 33 Abs. 1 des Abkommens vom 28. Juli 1951 über die Rechtstellung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Wie bereits ausgeführt, nahm das Bundesverwaltungsgericht im Grundsatzurteil BVGE 2011/24 eine umfassende Analyse der Situation in Sri Lanka vor. Danach hat sich seit dem Ende des bewaffneten Konflikts die allgemeine Lage in diesem Land erheblich verbessert. Die Situation in der Ostprovinz hat sich weitgehend stabilisiert und normalisiert, so dass der Wegweisungsvollzug in das gesamte Gebiet der Ostprovinz als grundsätzlich zumutbar zu erachten ist (vgl. a.a.O. E. 13.1). Es gibt zwar vermehrt Berichte über kriminelle Aktivitäten, und es wird im Allgemeinen davon ausgegangen, dass diese Straftaten von Angehörigen paramilitärischer Gruppierungen begangen werden, welche in einem gewissen Ausmass Rückendeckung durch die sri-lankischen Sicherheitskräfte geniessen. Die Beziehung zwischen den verschiedenen Ethnien im Osten ist jedoch relativ entspannt. Die Tamilen und Muslime im Osten fürchten sich aber weiterhin vor einer "Singhalisierung" des Ostens. Die Polizeipräsenz soll vergleichbar sein mit den Verhältnissen in Columbo. Die Sicherheitseinschränkungen im Trincomalee-Distrikt hatten bereits im Jahr 2009 merklich abgenommen. Die Sicherheitslage in Batticaloa hat sich ebenfalls merklich verbessert, obwohl die Stadt nach wie vor eine hohe Militärpräsenz aufweist. Die seit 2009 erfolgte Entspannung der Sicherheitslage in der Ostprovinz ist auch für die lokale Bevölkerung spürbar, und der Fortschritt ist erkennbar geworden: Die Infrastruktur wird weiter ausgebaut (Bau neuer Strassen und Brücken sowie Elektrizitäts- und Fernmeldeleitungen). Die Lage in der Nordprovinz ist sehr unterschiedlich. So herrscht in den Gebieten, die bereits seit längerer Zeit unter Regierungskontrolle stehen, das heisst in den Distrikten Jaffna und in den südlichen Teilen der Distrikte Vavuniya und Mannar (mit anderen Worten die Nordprovinz unter Ausschluss des so genannten Vanni-Gebietes) keine Situation allgemeiner Gewalt. Zudem ist die politische Lage nicht dermassen angespannt, dass eine Rückkehr dorthin als generell unzumutbar eingestuft werden müsste. Angesichts der im humanitären und wirtschaftlichen Bereich nach wie vor fragilen Lage drängt sich allerdings beim Wegweisungsvollzug in dieses Gebiet eine zurückhaltende Beurteilung der individuellen Zumutbarkeitskriterien auf. Nebst der allgemeinen Zumutbarkeit ist dabei auch dem zeitlichen Element Rechnung zu tragen.</w:t>
      </w:r>
    </w:p>
    <w:p>
      <w:r>
        <w:rPr>
          <w:b/>
        </w:rPr>
        <w:t>E. 7.3.2</w:t>
      </w:r>
    </w:p>
    <w:p>
      <w:r>
        <w:t>Der gemäss Aktenlage alleinstehende, junge und gesunde Beschwerdeführer, der Sri Lanka einige Monate vor der Beendigung des Krieges und der Niederlage der LTTE im Mai 2009 verlassen hat, wohnte zuletzt in B._______ (Ostprovinz). Eigenen Angaben zufolge hatte er eine Ausbildung als (...) begonnen, die er jedoch nicht abschliessen konnte. Seinen Lebensunterhalt erhielt er einerseits durch den Staat, anderseits wurde er von seiner Mutter unterstützt. In B._______ verfügt er über zahlreiche Schulfreunde (vgl. Akten BFM A11/16 S. 10). Vor diesem Hintergrund ist festzustellen, dass er die in BVGE 2011/24 statuierten Kriterien für eine Bejahung der Zumutbarkeit des Wegweisungsvollzugs in das Gebiet der Ostprovinz Sri Lankas erfüllt. Es ist ihm zuzumuten, seine Ausbildung wieder aufzunehmen und als (...) zu arbeiten. Es ist zudem darauf hinzuweisen, dass bloss soziale und wirtschaftliche Schwierigkeiten, von denen die ansässige Bevölkerung im Allgemeinen betroffen ist, nicht genügen, um eine konkrete Gefährdung im Sinne von Art. 83 Abs. 4 AuG darzustellen (vgl. BVGE 2008/34 E. 11.2.2). Es ist somit nicht davon auszugehen, dass er bei einer Rückkehr in seinen Heimatstaat in eine existenzielle Notlage geraten wird. Der Vollzug der Wegweisung erweist sich damit sowohl in genereller als auch in individueller Hinsicht als zumutbar.</w:t>
      </w:r>
    </w:p>
    <w:p>
      <w:r>
        <w:rPr>
          <w:b/>
        </w:rPr>
        <w:t>E. 7.4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Der Antrag, es sei vor Gutheissung der vorliegenden Beschwerde dem unterzeichneten Rechtsanwalt eine angemessene Frist zur Einreichung einer Kostennote zur Bestimmung der Parteientschädigung anzusetzen, erweist sich unter diesen Umständen als gegenstandslos. 9.Bei diesem Ausgang des Verfahrens sind die Kosten dem Beschwer-deführer aufzuerlegen (Art. 63 Abs. 1 VwVG),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