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E-6860/2011 vom 7. Dezember 2012</w:t>
      </w:r>
    </w:p>
    <w:p>
      <w:r>
        <w:t>Bundesverwaltungsgericht, 2012-12-07, DE</w:t>
      </w:r>
    </w:p>
    <w:p>
      <w:r>
        <w:rPr>
          <w:b/>
        </w:rPr>
        <w:t xml:space="preserve">Quelle: </w:t>
      </w:r>
      <w:r>
        <w:t>https://mcp.opencaselaw.ch/entscheid/bvger_E-6860_2011</w:t>
      </w:r>
    </w:p>
    <w:p>
      <w:r>
        <w:t>FR: TAF E-6860/2011 du 7 décembre 2012</w:t>
      </w:r>
    </w:p>
    <w:p>
      <w:r>
        <w:t>IT: TAF E-6860/2011 del 7 dicembre 2012</w:t>
      </w:r>
    </w:p>
    <w:p>
      <w:pPr>
        <w:pStyle w:val="Heading2"/>
      </w:pPr>
      <w:r>
        <w:t>Regeste</w:t>
      </w:r>
    </w:p>
    <w:p>
      <w:r>
        <w:t>Vollzug der Wegweisung</w:t>
      </w:r>
    </w:p>
    <w:p>
      <w:pPr>
        <w:pStyle w:val="Heading2"/>
      </w:pPr>
      <w:r>
        <w:t>Erwägungen</w:t>
      </w:r>
    </w:p>
    <w:p>
      <w:r>
        <w:rPr>
          <w:b/>
        </w:rPr>
        <w:t>E. 2.1</w:t>
      </w:r>
    </w:p>
    <w:p>
      <w:r>
        <w:t>Der Gesuchsteller ist durch das angefochtene Urteil besonders be­rührt und hat ein schutzwürdiges Interesse an dessen Aufhebung bezie­hungsweise Änderung, womit die Legitimation gegeben ist (vgl. Art. 48 Abs. 1 VwVG analog).</w:t>
      </w:r>
    </w:p>
    <w:p>
      <w:r>
        <w:rPr>
          <w:b/>
        </w:rPr>
        <w:t>E. 2.2</w:t>
      </w:r>
    </w:p>
    <w:p>
      <w:r>
        <w:t>Im Revisionsgesuch ist insbesondere der angerufene Revisionsgrund anzugeben und die Rechtzeitigkeit des Revisionsbegehrens im Sinne von Art. 124 BGG darzutun.</w:t>
      </w:r>
    </w:p>
    <w:p>
      <w:r>
        <w:rPr>
          <w:b/>
        </w:rPr>
        <w:t>E. 2.3</w:t>
      </w:r>
    </w:p>
    <w:p>
      <w:r>
        <w:t>Der Gesuchsteller macht sinngemäss den Revisionsgrund nachträglich aufgefundener entscheidender Beweismittel (Art. 123 Abs. 2 Bst. a BGG) geltend. Mit seinem Gesuch vom 14. Dezember 2011, welches am 21. Dezember an das Bundesverwaltungsgericht weitergeleitet wurde, hat er ferner die Frist gemäss Art. 124 Abs. 1 BGG gewahrt, da das Beweismittel vom 6. Dezember 2011 datiert. Auf das im Übrigen form- und fristgerecht ein­gereichte Revisionsgesuch (vgl. Art. 124 BGG, Art. 47 VGG i.V.m. Art. 67 Abs. 3 VwVG) ist deshalb ein­zutreten.</w:t>
      </w:r>
    </w:p>
    <w:p>
      <w:r>
        <w:rPr>
          <w:b/>
        </w:rPr>
        <w:t>E. 3</w:t>
      </w:r>
    </w:p>
    <w:p>
      <w:r>
        <w:t>Folglich gilt es zu prüfen, ob die vom Gesuchsteller im Revisionsverfah­ren gel­tend gemachten Vorbringen den revisionsrechtlichen Anforderun­gen zu ge­nügen vermögen.</w:t>
      </w:r>
    </w:p>
    <w:p>
      <w:r>
        <w:rPr>
          <w:b/>
        </w:rPr>
        <w:t>E. 3.1</w:t>
      </w:r>
    </w:p>
    <w:p>
      <w:r>
        <w:t>Gemäss Art. 123 Abs. 2 Bst. a BGG kann die Revision eines Entschei­des ver­langt werden, wenn die ersuchende Partei nachträglich er­hebliche Tatsachen erfährt oder entscheidende Beweismittel auffindet, die sie im früheren Verfahren nicht beibringen konnte , unter Ausschluss von Tatsachen und Beweismitteln, die erst nach dem Entscheid entstanden sind.</w:t>
      </w:r>
    </w:p>
    <w:p>
      <w:r>
        <w:rPr>
          <w:b/>
        </w:rPr>
        <w:t>E. 3.1.1</w:t>
      </w:r>
    </w:p>
    <w:p>
      <w:r>
        <w:t>Der Revisionsgrund der nachträglich erfahrenen Tatsachen beinhal­tet einerseits, dass sich diese bereits vor Abschluss des Beschwerdeverfah­rens verwirklicht haben; als Revisionsgrund sind somit le­diglich sogenannte unechte Nova zugelassen (vgl. ANDRE MO­SER/MICHAEL BEUSCH/LORENZ KNEUBÜHLER, Prozessieren vor dem Bundesver­waltungsgericht, Handbücher für die Anwaltspraxis, Band X, Ba­sel 2008, Rz. 5.47 S. 249). Dass es dabei einer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Ba­sel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MO­SER/BEUSCH/KNEUBÜHLER, a.a.O., Rz. 5.47, S. 250).</w:t>
      </w:r>
    </w:p>
    <w:p>
      <w:r>
        <w:rPr>
          <w:b/>
        </w:rPr>
        <w:t>E. 3.1.2</w:t>
      </w:r>
    </w:p>
    <w:p>
      <w:r>
        <w:t>Auch bezüglicher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4</w:t>
      </w:r>
    </w:p>
    <w:p>
      <w:r>
        <w:t>In der vorliegenden Revisionseingabe wiederholt der Gesuchsteller im Wesentlichen seine bereits im ordentlichen Verfahren dargelegten Vorbringen. Er führt erneut aus, im Laden, wo er tätig gewesen sei, seien alkoholische Getränke verkauft worden. Unbekannte hätten ihn mehrmals aufgefordert, den Alkoholverkauf einzustellen. Er sei dieser Aufforderung jedoch nicht nachgekommen. Nach mehrmaligen Todesdrohungen und der Sprengung seines Ladens durch die Unbekannten sei ihm der Ernst der Lage erst bewusst geworden und er sei deshalb geflohen. Die Sicherheitslage in den von der kurdischen Regionalregierung kontrollierten nordirakischen Provinzen im Vergleich zum Rest des Landes sei zwar besser, jedoch nicht zu überschätzen. Es bestehe keine Rechtsstaatlichkeit und Rechtssicherheit. Er sei diesen religiösen Fanatikern bekannt, niemand sei sicher vor ihnen. Die Lagebeurteilung bezüglich den Nordirak sei daher im ordentlichen Verfahren unzutreffend ausgefallen. Namentlich sei die Schutzfähigkeit und Schutzwilligkeit des irakischen Staates falsch beurteilt worden, denn die Behörden im Nordirak könnten ihn nicht schützen. Sodann sei die Lage in der Provinz Kirkuk instabil und berge ein hohes Potential für eskalierende Konflikte (namentlich Selbstmordattentate) und einen eventuellen Krieg. Diese Ausführungen würden deutlich machen, dass er sich im Visier religiöser Fanatiker befinde und er befürchte, bei einer Rückkehr in sein Heimatland weiterer nichtstaatlicher Verfolgung ausgesetzt zu sein. Ein Wegweisungsvollzug in den Irak erweise sich daher als unzumutbar. Zudem sei er seit fünf Jahren in der Schweiz, habe sich nichts zu Schulden lassen kommen und jahrelang gearbeitet. Er habe sich gut integriert und verfüge über gute Deutschkenntnisse. Auch deshalb würde eine Ablehnung des Gesuches für ihn eine tiefgreifende psychische und finanzielle Härte bedeuten. Zur Stützung seiner Vorbrin­gen reichte der Gesuchsteller - der aus Suleymaniya stammt - einen im Internet veröffentlichten Pressebericht vom 6. Dezember 2011 betreffend Übergriffe auf Alkohol verkaufende Läden in Suleymaniya zu den Akten.</w:t>
      </w:r>
    </w:p>
    <w:p>
      <w:r>
        <w:rPr>
          <w:b/>
        </w:rPr>
        <w:t>E. 5</w:t>
      </w:r>
    </w:p>
    <w:p>
      <w:r>
        <w:t>Vorerst ist fraglich, ob das erst nach Abschluss des ordentlichen Verfahrens entstandene Beweismittel revisionsrechtlich beachtlich sein kann (vgl. Art. 123 Abs. 2 Bst. a BGG). Diese Frage kann indes vorliegend offen bleiben, weil es sich bei dem eingereichten Internetartikel jedenfalls nicht um ein erhebliches Beweismittel handelt. Der Artikel weist bloss allgemeinen Charakter auf und bezieht sich nicht auf den Gesuchsteller persönlich, zumal die angeblichen Drohungen, die der Gesuchsteller im Zusammenhang mit seiner Tätigkeit in einem Alkohol verkaufenden Laden erlebt haben will, im ordentlichen Verfahren als nicht glaubhaft gemacht gewürdigt worden sind. Die Befürchtungen des Gesuchstellers, er werde bei einer Rückkehr sehr wahrscheinlich von religiösen Fanatikern verfolgt, waren demnach ebenfalls bereits Gegenstand des ordentlichen Verfahrens, und deren erneute Darlegung bildet ebenso wenig einen Revisionsgrund. Bei den übrigen Rügen des Gesuchstellers betreffend Schutzfähigkeit, Schutzwilligkeit der (nord-)irakischen Behörden und der Sicherheitslage im Irak handelt es sich lediglich um allgemeine Kritik am revisionsweise angefochtenen Urteil und an der dadurch geschützten Verfügung des BFM vom 28. August 2007. Für eine solche besteht im Rahmen eines Revisionsverfahrens von vornherein kein Raum. Schliesslich vermögen auch die Ausführungen zu seiner erfolgreichen Integration in der Schweiz keinen Revisionsgrund darzustellen. Zusammenfassend ist daher festzuhalten, dass keine revisionsrechtlich rele­van­ten Gründe dargetan sind. Das Gesuch um Revision des Urteils des Bun­desverwaltungsgerichts vom 9. Mai 2011 ist demzufolge abzuwei­sen.</w:t>
      </w:r>
    </w:p>
    <w:p>
      <w:r>
        <w:rPr>
          <w:b/>
        </w:rPr>
        <w:t>E. 6</w:t>
      </w:r>
    </w:p>
    <w:p>
      <w:r>
        <w:t>Bei diesem Ausgang des Verfahrens sind die Kosten in Höhe von Fr. 1'200.- dem Gesuchsteller aufzuerlegen (Art. 37 VGG i. V. m. Art. 63 Abs. 1 VwVG; Art. 1 - 3 des Reglements vom 21. Februar 2008 über die Kosten und Entschädigungen vor dem Bundesverwaltungsgericht [VGKE, SR 173.320.2]). Sie sind mit dem am 9. Januar 2012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