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E-6857/2010 vom 21. September 2011</w:t>
      </w:r>
    </w:p>
    <w:p>
      <w:r>
        <w:t>Bundesverwaltungsgericht, 2011-09-21, FR</w:t>
      </w:r>
    </w:p>
    <w:p>
      <w:r>
        <w:rPr>
          <w:b/>
        </w:rPr>
        <w:t xml:space="preserve">Quelle: </w:t>
      </w:r>
      <w:r>
        <w:t>https://mcp.opencaselaw.ch/entscheid/bvger_E-6857_2010</w:t>
      </w:r>
    </w:p>
    <w:p>
      <w:r>
        <w:t>FR: TAF E-6857/2010 du 21 septembre 2011</w:t>
      </w:r>
    </w:p>
    <w:p>
      <w:r>
        <w:t>IT: TAF E-6857/2010 del 21 settembre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fait valoir, à l'appui de sa demande d'asile, sa crainte de vivre en Serbie. Il affirme appréhender d'être de nouveau poursuivi et arrêté par les autorités serbes en raison de ses anciennes activités au sein de l'UCPMB.</w:t>
      </w:r>
    </w:p>
    <w:p>
      <w:r>
        <w:rPr>
          <w:b/>
        </w:rPr>
        <w:t>E. 3.2</w:t>
      </w:r>
    </w:p>
    <w:p>
      <w:r>
        <w:t>Il convient de rappeler que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3.2.1</w:t>
      </w:r>
    </w:p>
    <w:p>
      <w:r>
        <w:t>En l'espèce, il convient en conséquence d'examiner, à la lumière des considérations précités, si la peur de l'intéressé de vivre en Serbie peut être assimilée à une crainte de persécutions, au sens de l'art. 3 LAsi et de déterminer en particulier s'il existe des éléments concrets, propres à justifier la peur du recourant de vivre dans son pays.</w:t>
      </w:r>
    </w:p>
    <w:p>
      <w:r>
        <w:rPr>
          <w:b/>
        </w:rPr>
        <w:t>E. 3.2.2</w:t>
      </w:r>
    </w:p>
    <w:p>
      <w:r>
        <w:t>Sur ce point précis, force est de constater que recourant n'apporte aucun moyen de preuve ni ne fournit d'indices concrets permettant de considérer sa crainte comme fondée ; les documents qui accompagnent sa demande d'asile se référent en effet uniquement à sa condamnation en 2003. Un manque de substance caractérise par ailleurs ses propos qui se résument à la seule affirmation selon laquelle il appréhende de vivre en Serbie sans toutefois en préciser des raisons.</w:t>
      </w:r>
    </w:p>
    <w:p>
      <w:r>
        <w:rPr>
          <w:b/>
        </w:rPr>
        <w:t>E. 3.2.3</w:t>
      </w:r>
    </w:p>
    <w:p>
      <w:r>
        <w:t>Reste en conséquence à déterminer si le seul élément concret, invoqué par le recourant à l'appui de sa demande d'asile, à savoir, son emprisonnement entre 2003 et 2006, peut être considéré comme un motif suffisant pour justifier sa crainte de vivre en Serbie.</w:t>
      </w:r>
    </w:p>
    <w:p>
      <w:r>
        <w:rPr>
          <w:b/>
        </w:rPr>
        <w:t>E. 3.2.4</w:t>
      </w:r>
    </w:p>
    <w:p>
      <w:r>
        <w:t>A ce sujet, il sied de souligner que le recourant a été libéré en 2006 et qu'il n'a quitté définitivement la Serbie que le 25 décembre 2009, après s'être formellement fait délivrer un passeport par les autorités. Selon ses propres déclarations, il n'a jamais été ni poursuivi ni recherché entre 2006 et 2009 ; aucune charge n'a par ailleurs été retenue contre lui après sa libération. Le recourant n'a, de surcroît, fait allusion à aucune intervention ni même à un quelconque désagrément de la part des autorités serbes au cours de la période entre 2008 et décembre 2009. Il convient également de rappeler qu'il a pu quitter son pays sans difficulté aucune, muni d'un passeport formellement délivré par les autorités serbes. Sur la base de ces éléments, la crainte subjective de l'intéressé de vivre en Serbie, ressentie suite à son emprisonnement entre 2003 et 2006, n'est donc, sur le plan objectif, alimentée par aucun indice concret permettant de présager l'avènement, dans un avenir proche et selon une haute probabilité, des persécutions à son encontre. En conséquence, sa crainte est dépourvu de fondement.</w:t>
      </w:r>
    </w:p>
    <w:p>
      <w:r>
        <w:rPr>
          <w:b/>
        </w:rPr>
        <w:t>E. 3.3</w:t>
      </w:r>
    </w:p>
    <w:p>
      <w:r>
        <w:t>Force est enfin de relever que, pris isolément, l'emprisonnement de l'intéressé entre 2003 et 2006 avec les prétendus actes de maltraitance, ne saurait, à plus forte raison, être considéré comme un motif d'asile déterminant. En effet, conformément à la jurisprudence constante, l'asile n'est pas accordé en guise de compensation d'un préjudice subi mais sur la base d'un besoin de protection. La reconnaissance de la qualité de refugié implique ainsi l'existence d'un rapport de causalité temporel et matériel entre les persécutions subis et le départ du pays (sur ces questions cf. ATAF 2010/57 consid. 2.4 p. 827 et jurisprudence citée).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JICRA 1998 n° 20 consid. 7 p. 179ss, JICRA 1997 n° 14 consid. 2b p. 106, JICRA 1996 n° 42 consid. 4a et 7d p. 367ss, JICRA 1996 n° 30 consid. 4a p. 288 s. ; Walter Stöckli, Asyl, in : Ausländerrecht, Handbücher für die Anwaltspraxis, vol. VIII, 2e éd. Bâle 2009, n° 11.17 p. 531 ; Minh Son Nguyen, Droit public des étrangers : présence, activité économique et statut politique, Berne 2003, p. 444). En l'espèce, le recourant n'a quitté définitivement la Serbie que trois ans après sa libération, soit le 25 décembre 2009. En conséquence, le séjour de l'intéressé en prison entre 2003 et 2006 ne saurait être considéré comme le motif direct de sa fuite du pays, le lien de causalité temporel étant en l'occurrence rompu sans que, comme ci-dessus précisé, des circonstances particulières puissent justifier son départ différé.</w:t>
      </w:r>
    </w:p>
    <w:p>
      <w:r>
        <w:rPr>
          <w:b/>
        </w:rPr>
        <w:t>E. 3.4</w:t>
      </w:r>
    </w:p>
    <w:p>
      <w:r>
        <w:t>En conséquence, il convient de constater, sur la base d'éléments précités, que le recourant ne risque pas, du fait de ses activités au sein de l'UCPMB et de son appartenance à la minorité albanaise, d'être exposé en Serbie à un risque de persécution et qu'aucun motif valable ne vient justifier sa demande d'asile en Suisse.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cas d'espèce,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En l'occurrence,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Enfin, il convient de souligner que sur le plan de protection de la minorité albanaise en Serbie, la situation s'est sensiblement améliorée. Ce fait est par ailleurs confirmé par les rapports périodiques, élaborés par les organes compétentes de l'Union européenne (cf. Minority Rights Group International, Pushing for Change ? South East Europe's Minorities in the EU Progress Reports, Londres, juillet 2008 et Commission of the European Communities, Serbia 2007 Progress Report, 6 novembre 2007, p 15; International Crisis Group [ICG], Southern Serbia : Maintaining Peace In the Presevo Valley, 16 octobre 2007, p. 13).</w:t>
      </w:r>
    </w:p>
    <w:p>
      <w:r>
        <w:rPr>
          <w:b/>
        </w:rPr>
        <w:t>E. 7.4</w:t>
      </w:r>
    </w:p>
    <w:p>
      <w:r>
        <w:t>En outre, il ne ressort du dossier aucun élément dont on pourrait inférer que l'exécution du renvoi impliquerait une mise en danger concrète du recourant. A cet égard, l'autorité de céans relève que le recourant est jeune et sans charge de famille. Il n'a par ailleurs allégué aucun problème de santé particulier. Au vu de l'ensemble de ces éléments, le recourant doit pouvoir se réinstaller en Serbie sans difficultés excessives.</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 Le recours s'avérant manifestement infondé, il est rejeté dans une procédure à juge unique, avec l'approbation d'un second juge (art. 111 let. e LAsi). Il est dès lors renoncé à un échange d'écritures (art. 111a al. 1 LAsi).</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