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E-6852/2023 vom 4. März 2024</w:t>
      </w:r>
    </w:p>
    <w:p>
      <w:r>
        <w:t>Bundesverwaltungsgericht, 2024-03-04, DE</w:t>
      </w:r>
    </w:p>
    <w:p>
      <w:r>
        <w:rPr>
          <w:b/>
        </w:rPr>
        <w:t xml:space="preserve">Quelle: </w:t>
      </w:r>
      <w:r>
        <w:t>https://mcp.opencaselaw.ch/entscheid/bvger_E-6852_2023</w:t>
      </w:r>
    </w:p>
    <w:p>
      <w:r>
        <w:t>FR: TAF E-6852/2023 du 4 mars 2024</w:t>
      </w:r>
    </w:p>
    <w:p>
      <w:r>
        <w:t>IT: TAF E-6852/2023 del 4 marzo 2024</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E-6852/2023 Seite 5</w:t>
      </w:r>
    </w:p>
    <w:p>
      <w:r>
        <w:rPr>
          <w:b/>
        </w:rPr>
        <w:t>E. 1.2</w:t>
      </w:r>
    </w:p>
    <w:p>
      <w:r>
        <w:t>Die Beschwerde ist frist- und formgerecht eingereicht worden. Die Beschwerdeführerin ist zur Einreichung der Beschwerde legitimiert (Art. 105 und Art. 108 Abs. 6 AsylG; Art. 48 Abs. 1 sowie Art. 52 Abs. 1 VwVG). Auf die Beschwerde ist – abgesehen vom unter nachfolgend Erwägung 5 Gesagten,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am selben Datum und im selben Spruchkör- per wie jenes im Verfahren der Eltern und der Geschwister der Beschwer- deführerin (E-6843/2023).</w:t>
      </w:r>
    </w:p>
    <w:p>
      <w:r>
        <w:rPr>
          <w:b/>
        </w:rPr>
        <w:t>E. 5.1</w:t>
      </w:r>
    </w:p>
    <w:p>
      <w:r>
        <w:t>Flüchtlingen wird kein Asyl gewährt, wenn sie erst durch ihre Ausreise aus dem Heimat- oder Herkunftsstaat oder wegen ihres Verhaltens nach der Ausreise Flüchtlinge im Sinne von Artikel 3 wurden (Art. 54 AsylG). Als solche sogenannte subjektive Nachfluchtgründe können insbesondere exilpolitische Betätigungen gelten, wenn sie die Gefahr einer zukünftigen Verfolgung begründen. Personen mit subjektiven Nachfluchtgründen wer- den als Flüchtlinge vorläufig aufgenommen (vgl. BVGE 2009/29 E. 5.1, BVGE 2009/28 E. 7.1 m.w.H.).</w:t>
      </w:r>
    </w:p>
    <w:p>
      <w:r>
        <w:t>E-6852/2023 Seite 6</w:t>
      </w:r>
    </w:p>
    <w:p>
      <w:r>
        <w:rPr>
          <w:b/>
        </w:rPr>
        <w:t>E. 5.2</w:t>
      </w:r>
    </w:p>
    <w:p>
      <w:r>
        <w:t>Die Beschwerdeführerin stützt ihr Mehrfachgesuch einzig auf die exil- politischen Tätigkeiten ihres Vaters in der Schweiz. Mit Urteil des BVGer E- 3071/2021 vom 18. Juli 2023 (nachfolgend: Urteil des BVGer) ist rechts- kräftig festgestellt worden, dass die Asylgründe, die zur Ausreise aus dem Heimatstaat geführt hätten, nicht glaubhaft gemacht worden seien, und die Beschwerdeführerin im Zeitpunkt der Ausreise aus dem Heimatstaat res- pektive im Urteilszeitpunkt keine begründete Furcht vor Verfolgung gehabt habe. Objektive Nachfluchtgründe werden keine geltend gemacht und es sind auch keine ersichtlich. Das Begehren, es sei ihr in der Schweiz Asyl zu gewähren, ist demnach abzuweisen. Zu prüfen bleibt die Frage, ob das SEM zu Recht festgestellt hat, die Beschwerdeführerin erfülle die Flücht- lingseigenschaft aufgrund der politischen Tätigkeiten ihres Vaters in der Schweiz nicht und es lägen keine Wegweisungsvollzugshindernisse vor.</w:t>
      </w:r>
    </w:p>
    <w:p>
      <w:r>
        <w:rPr>
          <w:b/>
        </w:rPr>
        <w:t>E. 6.1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im We- sentlichen aus, im Entscheid ihres Vaters sei festgehalten worden, eine Verfolgung sei trotz seiner exilpolitischen Tätigkeiten nicht glaubhaft. Dem- entsprechend sei auch eine Reflexverfolgung der Beschwerdeführerin auf- grund der Tätigkeiten ihres Vaters zu verneinen.</w:t>
      </w:r>
    </w:p>
    <w:p>
      <w:r>
        <w:t>E-6852/2023 Seite 7</w:t>
      </w:r>
    </w:p>
    <w:p>
      <w:r>
        <w:rPr>
          <w:b/>
        </w:rPr>
        <w:t>E. 7.2</w:t>
      </w:r>
    </w:p>
    <w:p>
      <w:r>
        <w:t>In der Beschwerde wird hauptsächlich auf die Beschwerdeeingabe im Verfahren der Eltern und Geschwister der Beschwerdeführerin verwiesen und vorgebracht, die politische Verfolgung des Vaters erstrecke sich auch auf seine Tochter.</w:t>
      </w:r>
    </w:p>
    <w:p>
      <w:r>
        <w:rPr>
          <w:b/>
        </w:rPr>
        <w:t>E. 8</w:t>
      </w:r>
    </w:p>
    <w:p>
      <w:r>
        <w:t>Der Rückweisungsantrag erweist sich als offensichtlich unbegründet und ist abzuweisen. Mehrfachgesuche, die innert fünf Jahren nach Eintritt der Rechtskraft des Asyl- und Wegweisungsentscheides eingereicht werden, haben nach Art. 111c Abs. 1 AsylG schriftlich und begründet zu erfolgen. Eine Anhörung ist grundsätzlich nicht vorgesehen. Bezeichnenderweise wird in der Beschwerde denn auch nicht ansatzweise begründet, inwiefern der Sachverhalt unvollständig oder unrichtig festgestellt worden sei. Eine Verletzung des rechtlichen Gehörs liegt ebenfalls nicht vor.</w:t>
      </w:r>
    </w:p>
    <w:p>
      <w:r>
        <w:rPr>
          <w:b/>
        </w:rPr>
        <w:t>E. 9</w:t>
      </w:r>
    </w:p>
    <w:p>
      <w:r>
        <w:t>Im Urteil der Eltern und Geschwister der Beschwerdeführerin kommt das Bundesverwaltungsgericht zum Schluss, dass der Vater der Beschwerde- führerin sowie ihre Mutter und ihre Geschwister nicht mit hoher Wahr- scheinlichkeit und in naher Zukunft ernsthafte Nachteile im Sinne von Art. 3 AsylG zu befürchten haben aufgrund der exilpolitischen Tätigkeiten des Vaters. Nachdem die Beschwerdeführerin die geltend gemachte Verfol- gung vollumfänglich aus der Verfolgung ihres Vaters ableitet, hat das SEM demnach zu Recht auch ihre Flüchtlingseigenschaft verneint und das Mehrfachgesuch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E-6852/2023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Das SEM ist zutreffend zum Schluss gelangt, der Vollzug der Weg- weisung erweise sich als zulässig im Sinne von (Art. 83 Abs. 3 AIG). Die Beschwerdeführerin behaupte in der Beschwerde einzig eine Verletzung des flüchtlingsrechtlichen Non Refoulement Verbots (Art. 5 Abs. 1 AsylG; Art. 33 Abs. 1 des Abkommens vom 28. Juli 1951 über die Rechtsstellung der Flüchtlinge [FK, SR 0.142.30]). Nachdem sie die Flüchtlingseigen- schaft nicht erfüllt, steht dieses jedoch einem Vollzug der Wegweisung nicht entgegen. Sodann wird weder geltend gemacht noch ist ersichtlich, dass die Beschwerdeführerin bei der Rückkehr in den Heimatstaat der Fol- ter oder unmenschlicher oder erniedrigender Behandlung ausgesetzt wür- den (Art. 25 Abs. 3 BV, Art. 3 des Übereinkommens vom 10. Dezember 1984 gegen Folter und andere grausame, unmenschliche oder erniedri- gende Behandlung oder Strafe [FoK, SR 0.105] und Praxis zu Art. 3 EMRK [vgl. Urteil des EGMR Saadi gegen Italien vom 28. Februar 2008, Grosse Kammer 37201/06, §§ 124–127 m.w.H.]). Insbesondere lässt auch die all- gemeine Menschenrechtssituation im Heimatstaat den Wegweisungsvoll- zug nicht als unzulässig erscheinen.</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zur Begründung der Zumutbarkeit des Wegweisungsvollzugs festgestellt, in Aserbaidschan herrsche weder Krieg, Bürgerkrieg oder eine Situation allgemeiner Gewalt noch lägen individuelle Wegweisungsvoll- zugshindernisse vor. Insbesondere würden die Familienmitglieder der Be- schwerdeführerin, die sich ebenfalls in der Schweiz befänden, mit ihr nach Aserbaidschan weggewiesen. Somit könne sie im Heimatstaat zusammen mit ihnen das gewohnte Familienleben wieder aufnehmen. Sodann verfüge</w:t>
      </w:r>
    </w:p>
    <w:p>
      <w:r>
        <w:t>E-6852/2023 Seite 9 sie in der Heimat auch über weitere Familienangehörige und Bekannte, die sie unterstützen könnten. Aufgrund der zahlreichen Umzüge und Schul- wechsel habe sie bisher in keiner Schule richtig Fuss fassen können. Im Heimatstaat, mit dessen Sprache und Kultur sie bestens vertraut sei, werde ihr eine Wiedereingliederung ins Schulsystem und ein erfolgreiches Ab- schliessen der Ausbildung leichter fallen. Auf diese Begründung kann vollumfänglich verwiesen werden, ebenso wie auf jene im Urteil des Bundesverwaltungsgerichts, das erst rund sechs Mo- nate zurückliegt (ebd. E.11.4 f.). Zwar ist richtig, dass die Beschwerdefüh- rerin mit (…) Jahren in die Schweiz gelangt ist, und es soll auch nicht be- stritten werden, dass sie sich hier inzwischen gut zurechtfindet. Entgegen der in der Beschwerde vertretenen Auffassung kann aber nicht davon aus- gegangen werden, eine Rückkehr nach dem vierjährigen Aufenthalt in der Schweiz – zudem zusammen mit ihren Eltern und Geschwistern – führe zu einer Entwurzelung.</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Beschwerdeführerin aufzuerlegen (Art. 63 Abs. 1 VwVG) und auf insge- samt Fr. 1000.– festzusetzen (Art. 1–3 des Reglements vom 21. Februar 2008 über die Kosten und Entschädigungen vor dem Bundesverwaltungs- gericht [VGKE, SR 173.320.2]). Dieser Betrag ist durch den am 16. Januar 2024 geleisteten Kostenvorschuss in gleicher Höhe gedeckt. (Dispositiv nächste Seite)</w:t>
      </w:r>
    </w:p>
    <w:p>
      <w:r>
        <w:t>E-6852/2023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