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E-6850/2019 vom 1. April 2021</w:t>
      </w:r>
    </w:p>
    <w:p>
      <w:r>
        <w:t>Bundesverwaltungsgericht, 2021-04-01, DE</w:t>
      </w:r>
    </w:p>
    <w:p>
      <w:r>
        <w:rPr>
          <w:b/>
        </w:rPr>
        <w:t xml:space="preserve">Quelle: </w:t>
      </w:r>
      <w:r>
        <w:t>https://mcp.opencaselaw.ch/entscheid/bvger_E-6850_2019</w:t>
      </w:r>
    </w:p>
    <w:p>
      <w:r>
        <w:t>FR: TAF E-6850/2019 du 1 avril 2021</w:t>
      </w:r>
    </w:p>
    <w:p>
      <w:r>
        <w:t>IT: TAF E-6850/2019 del 1 aprile 2021</w:t>
      </w:r>
    </w:p>
    <w:p>
      <w:pPr>
        <w:pStyle w:val="Heading2"/>
      </w:pPr>
      <w:r>
        <w:t>Regeste</w:t>
      </w:r>
    </w:p>
    <w:p>
      <w:r>
        <w:t>Asyl und Wegweisung</w:t>
      </w:r>
    </w:p>
    <w:p>
      <w:pPr>
        <w:pStyle w:val="Heading2"/>
      </w:pPr>
      <w:r>
        <w:t>Erwägungen</w:t>
      </w:r>
    </w:p>
    <w:p>
      <w:r>
        <w:rPr>
          <w:b/>
        </w:rPr>
        <w:t>E. 1.1</w:t>
      </w:r>
    </w:p>
    <w:p>
      <w:r>
        <w:t>Am 1. März 2019 ist eine Teilrevision des Asylgesetzes in Kraft getreten (AS 2016 3101; SR 142.31).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Das Gericht wird nachfolgend die neue Gesetzesbezeichnung verwenden.</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Abs. 1 VwVG). Auf die frist- und formgerecht eingereichte Beschwerde ist einzutreten (aArt. 108 Abs. 1 AsylG und Art. 52 Abs. 1 VwVG).</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Gestützt auf Art. 111a Abs. 1 AsylG wurde auf die Durchführung eines Schriftenwechsels verzichtet.</w:t>
      </w:r>
    </w:p>
    <w:p>
      <w:r>
        <w:rPr>
          <w:b/>
        </w:rPr>
        <w:t>E. 5.1</w:t>
      </w:r>
    </w:p>
    <w:p>
      <w:r>
        <w:t>In der Beschwerde wird eventualiter die Rückweisung der Sache an die Vorinstanz beantragt. Das SEM habe die Argumente, welche für die Glaubhaftigkeit der Vorbringen des Beschwerdeführers sprächen, nicht hinreichend gewürdigt. Die zahlreichen Realkennzeichen in den Schilderungen des Beschwerdeführers seien nicht gewürdigt und die Verfügung nicht hinreichend begründet worden. Die Vorinstanz habe damit den Untersuchungsgrundsatz, mithin das rechtliche Gehör verletzt.</w:t>
      </w:r>
    </w:p>
    <w:p>
      <w:r>
        <w:rPr>
          <w:b/>
        </w:rPr>
        <w:t>E. 5.2</w:t>
      </w:r>
    </w:p>
    <w:p>
      <w:r>
        <w:t>Die Vorinstanz hat dem Beschwerdeführer anlässlich der BzP und der Anhörung Gelegenheit gegeben, sich ausführlich zu seinen Asylgründen zu äussern und entsprechende Beweismittel beizubringen. Soweit sie zum Schluss gelangte, die Vorbringen seien nicht glaubhaft, betrifft dies deren rechtliche Würdigung und ist entgegen der in der Beschwerde vertretenen Ansicht unter dem Titel "rechtliches Gehör" nicht zu beanstanden. Soweit die Darlegungen die rechtliche Würdigung beschlagen, ist daher an dieser Stelle darauf nicht weiter einzugehen. Indes ist bereits festzuhalten, dass die Vorinstanz keine grundlegenden Zweifel an den Ausführungen des Beschwerdeführers anbrachte, sondern festhielt, die Vorbringen seien nicht asylrelevant. Darauf ist nachfolgend in Erwägung 8 näher einzugehen. Die Vorinstanz hat in der angefochtenen Verfügung nachvollziehbar und im Einzelnen hinreichend differenziert aufgezeigt, von welchen Überlegungen sie sich leiten liess, und hat sich mit sämtlichen wesentlichen Vorbringen des Beschwerdeführers auseinandergesetzt. Eine Verletzung der Begründungspflicht ist nicht erkennbar.</w:t>
      </w:r>
    </w:p>
    <w:p>
      <w:r>
        <w:rPr>
          <w:b/>
        </w:rPr>
        <w:t>E. 5.3</w:t>
      </w:r>
    </w:p>
    <w:p>
      <w:r>
        <w:t>Eine Rückweisung der Sache an die Vorinstanz aus formellen Gründen ist nicht angezeigt und das entsprechende Begehren ist abzuweisen.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6.3</w:t>
      </w:r>
    </w:p>
    <w:p>
      <w:r>
        <w:t>Das Bundesverwaltungsgericht hat die Anforderungen an das Glaubhaftmachen der Vorbringen in verschiedenen Entscheiden dargelegt und folgt dabei ständiger Praxis. Darauf kann hier verwiesen werden (vgl. BVGE 2015/3 E. 6.5.1 m.w.H.).</w:t>
      </w:r>
    </w:p>
    <w:p>
      <w:r>
        <w:rPr>
          <w:b/>
        </w:rPr>
        <w:t>E. 7.1</w:t>
      </w:r>
    </w:p>
    <w:p>
      <w:r>
        <w:t>Die Vorinstanz gelangte in der angefochtenen Verfügung zum Schluss, die Vorbringen des Beschwerdeführers hielten weder den Anforderungen an die Flüchtlingseigenschaft gemäss Art. 3 AsylG noch denjenigen an die Glaubhaftigkeit gemäss Art. 7 AsylG stand. Die Inhaftierung des Beschwerdeführers im Jahr (...) habe im Zeitpunkt der Ausreise zu weit zurückgelegen, um noch als Anlass für diese gewertet zu werden, auch wenn es sich dabei um ein belastendes Ereignis gehandelt habe. Auch was die geltend gemachten Festnahmen in den Jahren 2000 bis 2006 betreffe, fehle ein Kausalzusammenhang zu seiner Ausreise. Seine Befürchtung, entführt zu werden, habe der Beschwerdeführer nicht ausreichend konkret und glaubhaft darzulegen vermocht. Seine diesbezüglichen Angaben seien vage und unbestimmt ausgefallen. Die von seinem Cousin gemachten Vermutungen seien nicht geeignet, eine konkrete Bedrohungslage asylrelevanten Ausmasses für den Beschwerdeführer zu begründen. Auch dass er zusammen mit seinem Cousin an Protesten teilgenommen habe, ändere daran nichts. Eine bloss entfernte Möglichkeit einer künftigen Verfolgung genüge nicht. In den Jahren 2013 und 2014 sei der Beschwerdeführer festgenommen und nach einigen Tagen ohne weitere Massnahmen wieder freigelassen worden, was darauf schliessen lasse, dass das behördliche Interesse nicht ihm persönlich gegolten habe. Im Zusammenhang mit den Wahlen in der Nordprovinz im Jahr 2013 sei festzuhalten, dass die Mitglieder von Oppositionsparteien nicht verfolgt worden seien. Im Jahr 2014 habe im Zusammenhang mit «Gopi» einem LTTE-Mitglied, welchem vorgeworfen worden sei, die LTTE wieder ins Leben gerufen zu haben, eine umfassende Überwachung der Zivilbevölkerung stattgefunden. Die vom Beschwerdeführer erwähnten Vorfälle seien als abgeschlossene Ereignisse zu qualifizieren und vermöchten aufgrund ihrer Art und Intensität keine Asylrelevanz zu begründen. Das Vorbringen, der Sohn des Beschwerdeführers sei nach dessen Ausreise von der Spionageabteilung des Militärs angehalten und befragt worden, sei weder nachvollziehbar noch glaubhaft. Eine Prüfung anhand der sogenannten Risikofaktoren (gemäss Referenzurteil des BVGer E-1866/2015 vom 15. Juli 2016) ergebe keine über eine allgemeine Hintergrundbefragung von illegal ausgereisten Person herausgehende Gefährdung des Beschwerdeführers.</w:t>
      </w:r>
    </w:p>
    <w:p>
      <w:r>
        <w:rPr>
          <w:b/>
        </w:rPr>
        <w:t>E. 7.2</w:t>
      </w:r>
    </w:p>
    <w:p>
      <w:r>
        <w:t>Der Beschwerdeführer hält den Überlegungen der Vorinstanz im Wesentlichen entgegen, er habe glaubhaft ausgesagt. Bei der angegebenen Anzahl seiner Verhaftungen müsse er sich versprochen haben, was bereits aus der BzP hervorgehe. Ferner habe er Zeitungsartikel zu den Akten gereicht, welche die Entführung seines Cousins eindeutig belegten, von der Vorinstanz aber nicht gewürdigt worden seien. Die Vorinstanz habe es unterlassen, die einzelnen Verhaftungen des Beschwerdeführers als Ganzes zu betrachten. Er sei offensichtlich im Fokus der Behörden. Seinem Cousin sei bei dessen Befragung ein Bild von ihm gezeigt worden, wobei es sich um eine Ermittlungsmassnahme gegen ihn (den Beschwerdeführer) handle. In dieser Situation sei anzunehmen, dass er der Nächste sei. Da sein Cousin während der Befragung gefoltert worden sei, was durch den eingereichten Zeitungsbericht bestätigt werde, habe auch er selbst, insbesondere vor dem Hintergrund, dass er im Jahr (...) bereits Opfer von Folter gewesen sei, mehr als eine blosse Befragung zu befürchten. Er habe begründete Furcht, ernsthaften Nachteilen im Sinne von Art. 3 AsylG ausgesetzt zu werden. Da er bereits wiederholt von den Sicherheitsbehörden inhaftiert worden sei, weil den Behörden bekannt sei, dass er die LTTE mit Lebensmitteln unterstützt habe, Verwandte von ihm Mitglieder bei den LTTE gewesen seien, weil er illegal ausgereist sei und über keine Identitätsdokumente verfüge, bestehe bei ihm ein Risikoprofil und ein reales Risiko Opfer einer nach Art. 3 EMRK verbotenen Strafe oder Behandlung ausgesetzt zu werden. Schliesslich sei auch die aktuelle Lage in Sri Lanka (namentlich die Wahl von Gotabaya Rajapaksa zum Präsidenten und die Festnahme einer Botschaftsmitarbeiterin im November 2019) zu berücksichtigen.</w:t>
      </w:r>
    </w:p>
    <w:p>
      <w:r>
        <w:rPr>
          <w:b/>
        </w:rPr>
        <w:t>E. 8.1</w:t>
      </w:r>
    </w:p>
    <w:p>
      <w:r>
        <w:t>Das Bundesverwaltungsgericht gelangt nach Durchsicht der Akten zur Auffassung, dass die Vorinstanz zu Recht die Flüchtlingseigenschaft des Beschwerdeführers verneint und das Asylgesuch abgelehnt hat. Da die Ausführungen in der Beschwerde zu keiner anderen Betrachtungsweise führen, kann im Grundsatz zur Vermeidung unnötiger Wiederholungen auf die Ausführungen in der angefochtenen Verfügung verwiesen werden.</w:t>
      </w:r>
    </w:p>
    <w:p>
      <w:r>
        <w:rPr>
          <w:b/>
        </w:rPr>
        <w:t>E. 8.2</w:t>
      </w:r>
    </w:p>
    <w:p>
      <w:r>
        <w:t>Ergänzend ist festzuhalten, dass, soweit der Beschwerdeführer geltend macht, er sei im Fokus der Behörden, er zwar seit (...) wiederholt aufgegriffen und befragt wurde, dazu aber selbst ausführte, er sei jeweils ohne Auflagen wieder freigelassen worden. Die Vorinstanz stellte demnach zum einen zu Recht fest, dass zwischen seiner Inhaftierung im Jahr (...) und seiner Ausreise im Jahr 2016 der Kausalzusammenhang fehlt. Zum andern hat sie auch zutreffend erwogen, das Interesse bei der letzten behördlichen Festnahme im Jahr 2014 habe offensichtlich nicht ihm gegolten, da zu diesem Zeitpunkt die ganze Zivilbevölkerung systematisch überwacht worden sei (vgl. dazu UNO-Menschenrechtsrat [OHCHR], Genf. Report of the OHCHR Investigation on Sri Lanka [OISL]. A/HRC/30/CRP.2. 16.09.2015 www.refworld.org/cgi-bin/texis/vtx/rwmain?page=country&amp;docid=55ffb1d04&amp;skip=0&amp;coi=LKA&amp;querysi=Report of the OHCHR Investigation on Sri Lanka (OISL)&amp;searchin=title&amp;sort=date &gt; sowie Sektion Analysen SEM: Focus Sri Lanka. Lagebild. Version vom 16.08.2016. Bern; &lt; https://www.sem.admin.ch/dam/data/sem/internationales/herkunftslaender/asien-nahost/lka/LKA-lagebild-2016-d.pdf &gt; m.w.H., beide abgerufen am 9.3.2021). Die geschilderten Aufgriffe und regelmässigen Kontrollen sind zwar schikanös und vor dem Hintergrund der persönlichen Erlebnisse des Beschwerdeführers geeignet, ihn zu verängstigen, in einer objektiven Betrachtungsweise aber als zu wenig intensiv anzusehen, um asylrechtliche Relevanz entfalten zu können. Die Annahme, der Beschwerdeführer hätte nach seinem Cousin ebenfalls festgenommen werden sollen, gründet auf reinen Vermutungen, die in den Akten keine Stütze finden. Demnach ging die Vorinstanz zu Recht davon aus, der Beschwerdeführer habe vor seiner Ausreise keine begründete Furcht vor einer asylrelevanten Verfolgung gehabt.</w:t>
      </w:r>
    </w:p>
    <w:p>
      <w:r>
        <w:rPr>
          <w:b/>
        </w:rPr>
        <w:t>E. 8.3</w:t>
      </w:r>
    </w:p>
    <w:p>
      <w:r>
        <w:t>Weiter ist zu prüfen, ob dem Beschwerdeführer wegen seiner Zugehörigkeit zur tamilischen Ethnie bei einer Rückkehr nach Sri Lanka ernsthafte Nachteile drohen würden. Diesbezüglich ist auf das Referenzurteil des Bundesverwaltungsgerichts E-1866/2015 vom 15. Juli 2016 zu verweisen, in welchem das Gericht eine aktuelle Analyse der Situation von Rückkehrenden nach Sri Lanka vorgenommen (vgl. a.a.O., E. 8) und festgestellt hat, dass aus Europa respektive der Schweiz zurückkehrende tamilische Asylsuchende nicht generell einer ernstzunehmenden Gefahr von Verhaftung und Folter ausgesetzt seien (vgl. a.a.O., E. 8.3). Das Gericht orientiert sich bei der Beurteilung des Risikos von Rückkehrern, Opfer ernsthafter Nachteile in Form von Verhaftung und Folter zu werden, an verschiedenen Risikofaktoren. Dabei handelt es sich unter anderem um das Vorhandensein einer Verbindung zu den LTTE und um das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Rückkehrer eine begründete Furcht vor ernsthaften Nachteilen im Sinne von Art. 3 AsylG haben, denen seitens der sri-lankischen Behörden zugeschrieben wird, dass sie bestrebt sind, den tamilischen Separatismus wiederaufleben zu lassen (vgl. a.a.O. E. 8.5.1).</w:t>
      </w:r>
    </w:p>
    <w:p>
      <w:r>
        <w:rPr>
          <w:b/>
        </w:rPr>
        <w:t>E. 8.4</w:t>
      </w:r>
    </w:p>
    <w:p>
      <w:r>
        <w:t>Wie bereits dargestellt und von der Vorinstanz ausgeführt, haben allfällige beim Beschwerdeführer im Zeitpunkt der Ausreise bestehende Risikofaktoren kein Verfolgungsinteresse seitens der sri-lankischen Behördenausgelöst. Es ist somit nicht davon auszugehen, dass dem Beschwerdeführer Verbindungen zu den LTTE vorgeworfen werden, welche im Zusammenhang mit dem Wiedererstarken der Organisation zu sehen wären. Untergeordnete Tätigkeiten für die LTTE hat fast die gesamte tamilische Bevölkerung geleistet, weshalb solche regelmässig nicht zu einer Gefährdung im Sinne der Praxis führen, zumal die sri-lankischen Behörden diese Tätigkeiten nicht als Gefahr für den sri-lankischen Einheitsstaat wahrnehmen. Der Beschwerdeführer hat bis 2016 in Sri Lanka gelebt und es liegen keine Hinweise dafür vor, dass ihm dies nun bei einer Wiedereinreise plötzlich vorgehalten werden sollte oder er sich auf einer «Stop-List» befindet. Aus seiner tamilischen Ethnie, der Landesabwesenheit und dem Asylverfahren in der Schweiz kann der Beschwerdeführer keine Gefährdung ableiten. Unter Würdigung aller Umstände ist somit anzunehmen, dass der Beschwerdeführer von der sri-lankischen Regierung nicht zu jener kleinen Gruppe gezählt wird, die bestrebt ist, den tamilischen Separatismus wieder aufleben zu lassen, und so eine Gefahr für den sri-lankischen Einheitsstaat darstellt. Es ist nicht davon auszugehen, dass ihm persönlich im Falle einer Rückkehr nach Sri Lanka ernsthafte Nachteile im Sinne von Art. 3 AsylG drohen würden.</w:t>
      </w:r>
    </w:p>
    <w:p>
      <w:r>
        <w:rPr>
          <w:b/>
        </w:rPr>
        <w:t>E. 8.5</w:t>
      </w:r>
    </w:p>
    <w:p>
      <w:r>
        <w:t>Zusammenfassend ist festzuhalten, dass der Beschwerdeführer nichts vorgebracht hat, was geeignet wäre, seine Flüchtlingseigenschaft nachzuweisen oder zumindest glaubhaft zu machen. Die Vorinstanz hat das Asylgesuch des Beschwerdeführers demnach zu Recht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solchen. Die Wegweisung wurde demnach zu Recht angeordnet (Art. 44 AsylG; Art. 32 der Asylverordnung 1 vom 11. August 1999 [AsylV 1, SR 142.311]);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10.2.1</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10.2.2</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 allgemeine Menschenrechtssituation in Sri Lanka lässt den Wegweisungsvollzug zum heutigen Zeitpunkt ebenso wenig als unzulässig erscheinen (vgl. dazu BVGE 2011/24 E. 10.4 und Referenzurteil E-1866/2015 E. 12.2). Auch der EGMR hat sich mit der Gefährdungssituation im Hinblick auf eine EMRK-widrige Behandlung namentlich für Tamilen, die aus einem europäischen Land nach Sri Lanka zurückkehren müssen, wiederholt befasst (vgl. EGMR, R.J. gegen Frankreich, Urteil vom 19. September 2013, Nr. 10466/11; T.N. gegen Dänemark, Urteil vom 20. Januar 2011, Nr. 20594/08; P.K. gegen Dänemark, Urteil vom 20. Januar 2011, Nr. 54705/08; Rechtsprechung zuletzt bestätigt in J.G. gegen Polen, Entscheidung vom 11. Juli 2017, Beschwerde Nr. 44114/14). Dabei unterstreicht der Gerichtshof, dass nicht in genereller Weise davon auszugehen sei, zurückkehrenden Tamilen drohe eine unmenschliche Behandlung. Es bestehen aufgrund der Akten keine konkreten Hinweise, dass der Beschwerdeführer bei einer Rückkehr nach Sri Lanka mit beachtlicher Wahrscheinlichkeit Massnahmen zu befürchten hätte, die über einen so genannten "Background Check" (Befragung und Überprüfung von Tätigkeiten im In- und Ausland) hinausgehen würden, oder dass er persönlich gefährdet wäre.</w:t>
      </w:r>
    </w:p>
    <w:p>
      <w:r>
        <w:rPr>
          <w:b/>
        </w:rPr>
        <w:t>E. 10.3</w:t>
      </w:r>
    </w:p>
    <w:p>
      <w:r>
        <w:t>Nach Einschätzung des Bundesverwaltungsgerichts wirken sich die jüngsten politischen Entwicklungen in Sri Lanka nicht in relevanter Weise auf den Beschwerdeführer aus. Die allgemeine Menschenrechtssituation in Sri Lanka lässt den Wegweisungsvollzug zum heutigen Zeitpunkt weiterhin nicht als unzulässig erscheinen. Der Vollzug der Wegweisung ist demnach sowohl im Sinn der asyl- als auch der völkerrechtlichen Bestimmungen zulässig.</w:t>
      </w:r>
    </w:p>
    <w:p>
      <w:r>
        <w:rPr>
          <w:b/>
        </w:rPr>
        <w:t>E. 10.4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10.4.1</w:t>
      </w:r>
    </w:p>
    <w:p>
      <w:r>
        <w:t>Das Bundesverwaltungsgericht hat die Frage der generellen Zumutbarkeit des Wegweisungsvollzugs nach Sri Lanka im schon mehrfach erwähnten Referenzurteil E-1866/2015 (E. 13) geprüft und sich im Sinne einer Aufdatierung der davor letzten Lagebeurteilung (BVGE 2011/24) eingehend mit der aktuellen politischen und allgemeinen Lage in Sri Lanka auseinandergesetzt (E. 13.2 f.). Dabei kam es zum Schluss, der Vollzug der Wegweisung in die Nord- und Ostprovinz sei grundsätzlich zumutbar, sofern das Vorliegen der individuellen Zumutbarkeitskriterien bejaht werden könnten, insbesondere die Existenz eines tragfähigen familiären oder sozialen Beziehungsnetzes sowie Aussichten auf eine gesicherte Einkommens- und Wohnsituation. Bezüglich der im Referenzurteil E-1866/2015 noch offengelassenen Frage der Zumutbarkeit des Wegweisungsvollzugs ins sogenannte Vanni-Gebiet (siehe dazu BVGE 2011/24 E. 13.2.2.1) stellte das Bundesverwaltungsgericht mit Urteil D-3619/2016 vom 16. Oktober 2017 (E. 9.5; als Referenzurteil publiziert) fest, dass dieser ebenfalls zumutbar ist. An dieser Einschätzung vermögen auch die vom Beschwerdeführer erwähnten Ereignisse (Präsidentschaftswahl im Jahr 2019, diplomatische Krise zwischen der Schweiz und Sri Lanka Ende 2019) nichts zu ändern und sie bleibt weiterhin aktuell (vgl. dazu zuletzt Urteile des BVGer D-2635/2020 vom 1. März 2021 E. 8.2, E-5504/2019 vom 25. Februar 2021 E.10.3.2).</w:t>
      </w:r>
    </w:p>
    <w:p>
      <w:r>
        <w:rPr>
          <w:b/>
        </w:rPr>
        <w:t>E. 10.5</w:t>
      </w:r>
    </w:p>
    <w:p>
      <w:r>
        <w:t>Die Vorinstanz hielt in der angefochtenen Verfügung zutreffend fest, der Beschwerdeführer verfüge in C._______, wo seine Ehefrau mit seinen Kindern sowie seine Eltern leben würden, über ein tragfähiges Beziehungsnetz. Auch seine Geschwister würden, abgesehen von einem Bruder, der in Kanada lebe, in Jaffna wohnen. Es sei davon auszugehen, dass er innert nützlicher Frist einen Weg finden werde, seinen Lebensunterhalt zu bestreiten. Was seine psychische Gesundheit betreffe, sei festzustellen, dass Sri Lanka ein relativ gut funktionierendes Gesundheitssystem besitze und die benötigten Medikamente zur Behandlung psychischer Probleme verfügbar seien. Im Distrikt Jaffna gebe es mehrere staatliche Institutionen, welche grundsätzlich vom Staat bezahlte, ambulante psychiatrische Gesundheitsversorgung anbieten würden. Seine psychischen Probleme stellten keine Wegweisungshindernisse dar und seine Situation sei nicht als medizinische Notlage einzustufen. Es stehe im ferner die Möglichkeit offen, Rückkehrhilfe zu beantragen und damit in einer ersten Phase die Behandlungskosten in der Heimat zu bezahlen. Das Gericht schliesst sich diesen Feststellungen an, denen auch unter Berücksichtigung der aktuellsten psychiatrischen Einschätzung (vom 8.12.2020), wonach der Beschwerdeführer weiterhin an einer (...) leide, die mit regelmässigen psychotherapeutischen Gesprächen und der Einnahme des Medikaments (...) (zur Nacht) behandelt werde, nichts hinzuzufügen ist. Der Vollzug der Wegweisung erweist sich damit auch in individueller Hinsicht als zumutbar.</w:t>
      </w:r>
    </w:p>
    <w:p>
      <w:r>
        <w:rPr>
          <w:b/>
        </w:rPr>
        <w:t>E. 10.6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10.7</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w:t>
      </w:r>
    </w:p>
    <w:p>
      <w:r>
        <w:t>Bei diesem Ausgang des Verfahrens wären die Kosten dem Beschwerdeführer aufzuerlegen (Art. 63 Abs. 1 VwVG). Indessen ist der mit der Beschwerdeschrift gestellte Antrag auf unentgeltliche Rechtspflege im Sinne von Art. 65 Abs. 1 VwVG gutzuheissen, da die Rechtsbegehren im Zeitpunkt der Beschwerdeerhebung als nicht aussichtslos zu bezeichnen waren und der Beschwerdeführer aufgrund der Akten als bedürftig zu gelten hat. Somit hat der Beschwerdeführer keine Verfahrenskosten zu tragen.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