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E-6845/2013 vom 10. Januar 2014</w:t>
      </w:r>
    </w:p>
    <w:p>
      <w:r>
        <w:t>Bundesverwaltungsgericht, 2014-01-10, DE</w:t>
      </w:r>
    </w:p>
    <w:p>
      <w:r>
        <w:rPr>
          <w:b/>
        </w:rPr>
        <w:t xml:space="preserve">Quelle: </w:t>
      </w:r>
      <w:r>
        <w:t>https://mcp.opencaselaw.ch/entscheid/bvger_E-6845_2013</w:t>
      </w:r>
    </w:p>
    <w:p>
      <w:r>
        <w:t>FR: TAF E-6845/2013 du 10 janvier 2014</w:t>
      </w:r>
    </w:p>
    <w:p>
      <w:r>
        <w:t>IT: TAF E-6845/2013 del 10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(Art. 83 Bst. d Ziff. 1 des Bundesgerichtsgesetzes vom 17. Juni 2005 [BGG, SR 173.110]; Art. 105 des Asylgesetzes vom 26. Juni 1998 [AsylG, SR 142.31]). Die Beschwerdeführerin ist als Verfügungsadressatin zur Erhebung der Beschwerde legitimiert (Art. 48 VwVG). Die Beschwerde ist formgerecht abgefasst (Art. 52 VwVG). Zudem hat die Beschwerdeführerin mit dem Schreiben vom 5. Dezember 2013 sowie der Bestätigung / Quittung der Post vom 26. November 2013 die fristgerechte Einreichung der Beschwerde dargetan. Auf die Beschwerde ist einzutreten (Art. 108 Abs. 1 AsylG).</w:t>
      </w:r>
    </w:p>
    <w:p>
      <w:r>
        <w:rPr>
          <w:b/>
        </w:rPr>
        <w:t>E. 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5.1</w:t>
      </w:r>
    </w:p>
    <w:p>
      <w:r>
        <w:t>Die Vorinstanz lehnt das Asylgesuch ab, da die Vorbringen der Beschwerdeführerin weder den Anforderungen an das Glaubhaftmachen gemäss Art. 7 AsylG noch denjenigen an die Flüchtlingseigenschaft gemäss Art. 3 AsylG standhalten. Die Beschwerdeführerin habe in wesentlichen Punkten der Asylbegründung unvereinbar ausgesagt. Sie habe sich widersprüchlich über die Umstände des Verlustes des Duplikats ihrer Identitätskarte geäussert. Unter den gegebenen Umständen sei sodann nicht erklärbar, wie die Beschwerdeführerin gemäss ihren Aussagen das Duplikat besorgen möchte, um ihre Identität nachzuweisen. Aus dem Hinweis, dies sei mit Bestechung ohne weiteres möglich, vermöge sie nichts zu ihren Gunsten abzuleiten. Weiter habe sie ihre Desertion aus dem Militär unsubstantiiert und widersprüchlich geschildert. Anlässlich der Befragungen habe sie ihre militärische Einheit unterschiedlich bezeichnet. Sodann seien die Ausführungen zur angeblich illegalen Ausreise stereotyp sowie zu wenig konkret und detailliert ausgefallen. Die Angaben zur Stadt E._______ seien einerseits tatsachenwidrig, andererseits undifferenziert und würden nicht den Eindruck vermitteln, die Beschwerdeführerin hätte sich dort aufgehalten. In Anbetracht der nicht hinreichend begründeten, widersprüchlichen und tatsachenwidrigen Angaben sei davon auszugehen, dass die Beschwerdeführerin vor ihrer Ausreise aus dem Militär entlassen worden und legal ausgereist sei. Vor diesem Hintergrund sei auch die Aussage der Beschwerdeführerin, sie habe eine D._______ besucht plausibel, zumal dies während des Militärdienstes kaum möglich gewesen wäre. Weiter führt die Vorinstanz aus, die Beschwerdeführerin sei in zwei Schreiben von Drittpersonen bezichtigt worden, sich positiv über die PFDJ geäussert beziehungsweise an einer Veranstaltung der PFDJ teilgenommen zu haben. Im Rahmen der Gewährung des rechtlichen Gehörs habe die Beschwerdeführerin dazu widersprüchlich ausgesagt. Namentlich habe sie sich unvereinbar darüber geäussert, wann sie von der Kundgebung Kenntnis erhalten habe. Dies und das vehemente Bestreiten liessen darauf schliessen, dass die Denunziationen nicht unberechtigt seien. Dieser Schluss werde weiter dadurch bestärkt, dass die Beschwerdeführerin bereits als Kind in ihrem Freundeskreis etwas Italienische und Französisch erlerne habe, die Eltern ihrer Freunde reich gewesen seien und Machtpositionen inne hatten. Dies spreche dafür, dass die Beschwerdeführerin aus einer privilegierten Familie stamme, über Beziehungen zur Regierungspartei verfüge und erleichterte Ausreisemöglichkeiten gehabt habe. Entsprechend sei auch ihre Aussage, durch Bestechung sei alles möglich, zu bewerten. Schliesslich bestätige die Aussage, wonach sie bei einer Rückkehr keine grösseren Probleme bekommen werde, diesen Schluss. Zu Art. 3 AsylG hält die Vorinstanz fest, zwischen der geltend gemachten Inhaftierung und der Ausreise aus Eritrea bestehe weder in zeitlicher noch in sachlicher Hinsicht ein genügend enger Kausalzusammenhang, mithin sei diese asylrechtlich nicht beachtlich.</w:t>
      </w:r>
    </w:p>
    <w:p>
      <w:r>
        <w:rPr>
          <w:b/>
        </w:rPr>
        <w:t>E. 5.2.1</w:t>
      </w:r>
    </w:p>
    <w:p>
      <w:r>
        <w:t>Die Beschwerdeführerin rügt, die Vorinstanz habe den Untersuchungsgrundsatz verletzt. Es hätten ihr weitergehende Fragen gestellt werden müssen. Dies hätte dazu geführt, dass sie genauere und differenzierte Angaben, namentlich zum Verlust der Identitätskarte, hätte machen können. Indes verkennt die Beschwerdeführerin die Tragweite der behördlichen Untersuchungspflicht. Diese hat ihre Grenze in der Mitwirkungspflicht der Beschwerdeführerin (Art. 8 AsylG), welche im Übrigen auch die Substanziierungslast trägt (Art. 7 AsylG). Zur Feststellung des Sachverhalts wurden der Beschwerdeführerin anlässlich der Befragungen genügend offene als auch konkrete Fragen gestellt. Im Rahmen der Beantwortung dieser Fragen obliegt es der Beschwerdeführerin, den Sachverhalt frei von Unstimmigkeiten und inhaltlich substantiiert darzutun. In der Rechtsmitteleingabe wird nicht substantiiert dargelegt, inwiefern die Vorinstanz vorliegend im Einzelnen den Untersuchungsgrundsatz verletzt haben soll. Solches ist auch nicht ersichtlich. Soweit in der Rechtsmitteleingabe in diesem Zusammenhang vorgebracht wird, die Vorinstanz habe keine Abwägung der für und gegen die Beschwerdeführerin sprechenden Sachverhaltselemente vorgenommen, wird nicht eine Verletzung des Untersuchungsgrundsatzes geltend gemacht, sondern gerügt, die Vorinstanz habe den Massstab des Glaubhaftmachens nicht richtig angewendet und damit Bundesrecht verletzt. Darauf ist nachfolgend einzugehen.</w:t>
      </w:r>
    </w:p>
    <w:p>
      <w:r>
        <w:rPr>
          <w:b/>
        </w:rPr>
        <w:t>E. 5.2.2</w:t>
      </w:r>
    </w:p>
    <w:p>
      <w:r>
        <w:t>Die vorinstanzliche Beweiswürdigung in Bezug auf das Glaubhaftmachen ist nicht zu beanstanden. In der angefochtenen Verfügung wird im Einzelnen dargelegt, aus welchen Gründen die Vorbringen der Beschwerdeführerin widersprüchlich und tatsachenwidrig sind, der Logik des Handelns widersprechen und damit nicht glaubhaft sind. Was in der Rechtsmitteleingabe dagegen vorgebracht wird, ist nicht geeignet, die Aussagen der Beschwerdeführerin in einem anderen Licht erscheinen zu lassen. Anlässlich der Erstbefragung gab die Beschwerdeführerin zu Protokoll, das Original des Duplikats der Identitätskarte sei verloren gegangen, zusammen mit dem Ehering. Beides habe sie in einer kleinen Handtasche gehabt, wobei sie kurz vorher den Ausweis kopiert habe (Akten BFM A5/12, S. 6). Demgegenüber erklärte sie anlässlich der Anhörung, sie habe die Identitätskarte in der Kopiermaschine vergessen. Auf entsprechende Nachfrage präzisierte die Beschwerdeführerin, sie habe im Kopierraum auch ihren Ring und das Portemonnaie zurückgelassen (Akten BFM A12/17 S. 2). Die Aussagen betreffend die Identitätskarte weichen somit erheblich voneinander ab. Insoweit kann der Vorinstanz nicht vorgehalten werden, sie habe in diesem Punkt willkürlich, das heisst nicht nachvollziehbar und ohne vernünftiges Argument, auf eine Unstimmigkeit geschlossen. Bei dieser Sachlage ist sodann nicht nachvollziehbar, wie die Beschwerdeführerin gemäss ihren Aussagen das angeblich verlorene Duplikat beschaffen will (Akten BFM A5/12 S. 6). Dass die Beschaffung eines neuen Ausweisdokuments in Eritrea gegen Bestechung ohne Weiteres möglich ist, gilt als notorisch. Gerade deshalb vermag die Beschwerdeführerin aus diesem Hinweis in Bezug auf die Beschaffung eines echten Ausweisdokuments nichts zu ihren Gunsten abzuleiten. Betreffend ihre Brigadeeinteilung anerkennt die Beschwerdeführerin in der Rechtsmitteleingabe grundsätzlich ihre unterschiedlichen Angaben. Sie erklärt diese mit der mehrstündigen Dauer der Befragung. Dieser Hinweis ist indes nicht geeignet, die unterschiedlichen Angaben zu rechtfertigen. Die Beschwerdeführerin leistete gemäss ihren Angaben während Jahren Militärdienst und macht geltend, unmittelbar vor der Ausreise aus dem Dienst desertiert zu sein. Es darf von ihr daher ohne Weiteres erwartete werden, dass sie ein so zentrales Element, wie ihre militärische Einheit, jederzeit spontan korrekt und übereinstimmend angeben kann. Aufgrund dieser Ungereimtheiten bestehen ernsthafte Zweifel daran, dass die Beschwerdeführerin im November 2011 aus dem Militärdienst desertierte. Diese Zweifel werden weiter dadurch bestärkt, dass sich die Beschwerdeführerin bei der Beantwortung der Frage, von wann bis wann sie wo stationiert gewesen sei, einzig auf die Jahre 1997 und 1998 bezog und danach pauschal darauf verwies, der Krieg sei ausgebrochen (Akten BFM A12/17 S. 6). Sodann gab sie zu Protokoll, sie habe im Jahre 2000 eine D._______ abgeschlossen. Dies ist indes offensichtlich nicht vereinbar mit der Militärdienstpflicht. Schliesslich vermag die Beschwerdeführerin auch aus den eingereichten Fotos nichts im Hinblick auf die am 26. November 2011 behauptete Desertion abzuleiten. Dem Bild ist kein Hinweis auf den Entstehungszeitpunkt zu entnehmen.</w:t>
      </w:r>
    </w:p>
    <w:p>
      <w:r>
        <w:rPr>
          <w:b/>
        </w:rPr>
        <w:t>E. 5.2.3</w:t>
      </w:r>
    </w:p>
    <w:p>
      <w:r>
        <w:t>Insgesamt bestehen somit überwiegende Zweifel an den Asylvorbringen der Beschwerdeführerin. Aufgrund der aufgezeigten Ungereimtheiten ist nicht davon auszugehen, dass sie bis im November 2011 Militärdienst leistete und desertierte. Es ist vielmehr davon auszugehen, dass sie bereits Jahre zuvor aus der Dienstpflicht entlassen wurde. Der Beschwerdeführerin ist es somit nicht gelungen, die geltend gemachten Vorfluchtgründe glaubhaft darzutun. Die Vorinstanz hat das Asylgesuch demnach insoweit zu Recht abgelehnt.</w:t>
      </w:r>
    </w:p>
    <w:p>
      <w:r>
        <w:rPr>
          <w:b/>
        </w:rPr>
        <w:t>E. 5.3.1</w:t>
      </w:r>
    </w:p>
    <w:p>
      <w:r>
        <w:t>In der Rechtsmitteleingabe hält die Beschwerdeführerin unter Hinweis auf ihr Alter und die Rechtsprechung des Bundesverwaltungsgericht fest, es sei unmöglich, legal aus Eritrea auszureisen. Die Vorinstanz habe willkürlich geschlossen, sie habe über erleichterte Ausreisebedingungen verfügt. Aufgrund subjektiver Nachfluchtgründe erfülle sie die Voraussetzungen zur Anerkennung als Flüchtling.</w:t>
      </w:r>
    </w:p>
    <w:p>
      <w:r>
        <w:rPr>
          <w:b/>
        </w:rPr>
        <w:t>E. 5.3.2</w:t>
      </w:r>
    </w:p>
    <w:p>
      <w:r>
        <w:t>Im Urteil D-3892/2008 vom 6. April 2010 hat sich das Gericht zur Situation der Ausreise aus Eritrea geäussert. Es hat festgestellt, dass gemäss Art. 11 der "Proclamation No. 24/1992" - welche die Ein- und Ausreise nach und von Eritrea regelt - ein legales Verlassen des Landes lediglich mit einem gültigen Reisepass und einem zusätzlichen Ausreisevisum möglich sei. Weiter führt es aus, seit Jahren würden Ausreisevisa nur unter sehr restriktiven Bedingungen und gegen Bezahlung hoher Geldbeträge an wenige, loyal beurteilte Personen ausgestellt, wobei Kinder ab elf Jahren, Männer bis zum Alter von 54 Jahren und Frauen bis 47 Jahre grundsätzlich ausgeschlossen seien.</w:t>
      </w:r>
    </w:p>
    <w:p>
      <w:r>
        <w:rPr>
          <w:b/>
        </w:rPr>
        <w:t>E. 5.3.3</w:t>
      </w:r>
    </w:p>
    <w:p>
      <w:r>
        <w:t>Gemäss Art. 7 AsylG muss, wer um Asyl nachsucht, die Flüchtlingseigenschaft nachweisen oder zumindest glaubhaft machen. Gegebenenfalls kann allein eine illegale Ausreise aus dem Heimatland zur Anerkennung als Flüchtling führen (subjektive Nachfluchtgründe). Es kann daher generell nicht genügen, die illegale Ausreise bloss zu behaupten und nicht ansatzweise glaubhaft zu machen. Es müssen zumindest Anhaltspunkte vorhanden sein, aufgrund derer auf eine illegale Ausreise geschlossen werden kann.</w:t>
      </w:r>
    </w:p>
    <w:p>
      <w:r>
        <w:rPr>
          <w:b/>
        </w:rPr>
        <w:t>E. 5.3.4</w:t>
      </w:r>
    </w:p>
    <w:p>
      <w:r>
        <w:t>Die Beschwerdeführerin gibt an, im Jahre (...) geboren zu sein. Sie ist somit (...) Jahre alt. Sie hat kein Identitätspapier eingereicht. Ihre diesbezüglichen Aussagen zum Verlust der Identitätskarte sind nicht glaubhaft. Weiter sind ihre Angaben zur Ausreise stereotyp, vage und besonders ohne jeglichen persönlichen Bezug. Zu den von ihr verwendeten Reisedokument gab sie zu Protokoll, sie glaube, der Schlepper habe einen sudanesischen Pass besorgt. Sodann war sie nicht in der Lage anzugeben, ob ihr eigenes oder ein anderes Foto in diesem Pass war. Zur Einreise in die Schweiz führte sie anlässlich der Erstbefragung aus, sie sei mit dem Zug in die Schweiz eingereist (Akten BFM A5/12 S. 6). Demgegenüber gab sie bei der Anhörung an, als sie gelandet seien, habe ihr der Schlepper gesagt, sie seien in der Schweiz angekommen (Akten BFM A12/17 S. 14). Dass sich die Beschwerdeführerin nicht an die Art und Weise ihrer Reise in die Schweiz erinnern kann, erscheint ausgeschlossen. Aufgrund der aufgezeigten Unstimmigkeiten bestehen ernsthafte Zweifel an der behaupteten illegalen Ausreise der Beschwerdeführerin. Weiter legt die Vorinstanz in der angefochtenen Verfügung dar, aus welchen Gründen sie davon ausgehe, dass die Beschwerdeführerin über erleichterte Ausreisemöglichkeiten verfügt habe. Dieser Schluss wird in der Rechtsmitteleingabe als willkürlich bezeichnet. Dies trifft nicht zu. Entgegen der Behauptung der Beschwerdeführerin stützt sich der vorinstanzliche Schluss nicht einzig auf die beiden Denunziationsschreiben ab. Zu diesen Schreiben ist festzuhalten, dass sie unterschiedlicher Quellen entstammen, indes übereinstimmend darauf hinweisen, die Beschwerdeführerin stehe in Beziehungen zur PFDJ. Weiter begründet die Vorinstanz ihren Schluss damit, die Aussagen der Beschwerdeführerin anlässlich der Gewährung des rechtlichen Gehörs zum Inhalt der Denunziationsschreiben seien widersprüchlich ausgefallen. Entgegen der in der Rechtsmitteleingabe vertretenen Auffassung ist festzuhalten, dass von der Beschwerdeführerin auch ohne Zuhilfenahme einer Agenda erwartet werden kann, dass sie übereinstimmend angeben kann, ob sie am Tag der Versammlung oder erst Tage danach von diesem Anlass Kenntnis erhalten hat. Im Übrigen stimmen die Ausführungen in der Rechtsmitteleingabe zum Aufenthaltsort der Beschwerdeführerin am 7. April 2013 (F._______) nicht mit ihren persönlichen Angaben anlässlich der Gewährung des rechtlichen Gehörs (G._______) überein. Sodann stellt die Vorinstanz fest, die Beschwerdeführerin habe - wenn angeblich auch wenig - Sprachkenntnis in Französisch und Italienisch. Gemäss ihren Angaben seien die beiden Sprachen in ihrer Kindheit in ihrer Nachbarschaft gesprochen worden (Akten BFM A5/12 S. 4). Ihre Freunde seien reicher gewesen als sie. Deren Eltern hätten Macht gehabt, seien Vorgesetzte und Generäle gewesen. Sie sei mit den Kindern dieser Familie aufgewachsen (Akten BFM A12/17 S. 7 f.). Weiter führt die Vorinstanz in diesem Zusammenhang die Aussagen der Beschwerdeführerin an, mit Bestechung gehe alles (Akten BFM A5/12 S. 6) sowie ihr Hinweis auf die finanzielle Unterstützung durch eine Mitarbeiterin der US-Botschaft im Sudan (Akten BFM A5/12 S. 8). Aufgrund dieser unterschiedlichen Fakten - Denunziationsschreiben, Sprachkenntnisse, Angaben zum nachbarschaftlichen Umfeld sowie der weiteren Aussagen - schloss die Vorinstanz absolut nachvollziehbar und in keiner Weise willkürlich, dass die Beschwerdeführerin aus einer privilegierten Familie stammen müsse, die Beziehungen zur Regierungspartei habe. An diesem Schluss vermögen die Ausführungen, namentlich die Wiederholung des aktenkundigen Sachverhalts sowie die unzutreffende Behauptung, nahezu jeder Eritreer verstehe und spreche ein wenig Italienisch, nicht zu ändern.</w:t>
      </w:r>
    </w:p>
    <w:p>
      <w:r>
        <w:rPr>
          <w:b/>
        </w:rPr>
        <w:t>E. 5.3.5</w:t>
      </w:r>
    </w:p>
    <w:p>
      <w:r>
        <w:t>Die Beschwerdeführerin vermochte die behauptete illegale Ausreise nicht glaubhaft darzutun. Deshalb und aufgrund ihrer Aussagen, namentlich zu ihrem persönlichen Umfeld ist zu schliessen, dass die Beschwerdeführerin über Beziehungen zur Regierungspartei verfügt, weshalb sie das Land im Besitze ihres Reisepasses sowie eines Ausreisevisums verlassen haben muss. Bei dieser Sachlage ist die Vorinstanz zu Recht von einer legalen Ausreise der Beschwerdeführerin aus Eritrea ausgegangen. Dieser Schluss wird im Übrigen durch eines der beiden Denunziationsschreiben untermauert, wonach die Beschwerdeführerin über einen Reisepass verfüge. Es liegen somit keine subjektiven Nachfluchtgründe vor.</w:t>
      </w:r>
    </w:p>
    <w:p>
      <w:r>
        <w:rPr>
          <w:b/>
        </w:rPr>
        <w:t>E. 5.4</w:t>
      </w:r>
    </w:p>
    <w:p>
      <w:r>
        <w:t>Zusammenfassend hat die Vorinstanz das Asylgesuch der Beschwerdeführerin zu Recht abgelehnt.</w:t>
      </w:r>
    </w:p>
    <w:p>
      <w:r>
        <w:rPr>
          <w:b/>
        </w:rPr>
        <w:t>E. 6</w:t>
      </w:r>
    </w:p>
    <w:p>
      <w:r>
        <w:t>Gemäss Art. 44 Abs. 1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7.1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der Beschwerdeführerin noch aus den Akten ergeben sich konkrete Anhaltspunkte dafür, dass sie für den Fall einer Ausschaffung nach Eritrea dort mit beachtlicher Wahrscheinlichkeit einer nach Art. 3 EMRK oder Art. 1 FoK verbotenen Strafe oder Behandlung ausgesetzt wäre.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der Beschwerdeführerin nach Eritrea ist als zumutbar zu erachten. In Eritrea herrscht keine Situation allgemeiner Gewalt. Sodann sind den Akten keine Hinweise zu entnehmen, wonach es der Beschwerdeführerin aufgrund ihrer persönlichen Situation nicht zumutbar sein soll, in ihren Heimatstaat zurückzukehren. Um bezüglich ihrer persönlichen Verhältnisse Wiederholungen zu vermeiden, kann auf die zutreffenden Erwägungen in der angefochtenen Verfügung verwiesen werden. Der Vollzug der Wegweisung ist somit zumutbar.</w:t>
      </w:r>
    </w:p>
    <w:p>
      <w:r>
        <w:rPr>
          <w:b/>
        </w:rPr>
        <w:t>E. 7.3</w:t>
      </w:r>
    </w:p>
    <w:p>
      <w:r>
        <w:t>Es ist davon auszugehen, dass die Beschwerdeführerin über einen gültigen Reisepass verfügt, weshalb der Vollzug der Wegweisung auch als möglich zu bezeichnen ist (Art. 83 Abs. 2 AuG).</w:t>
      </w:r>
    </w:p>
    <w:p>
      <w:r>
        <w:rPr>
          <w:b/>
        </w:rPr>
        <w:t>E. 7.4</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der Beschwerdeführerin aufzuerlegen (Art. 63 Abs. 1 VwVG). Damit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