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E-6837/2015 vom 29. Oktober 2015</w:t>
      </w:r>
    </w:p>
    <w:p>
      <w:r>
        <w:t>Bundesverwaltungsgericht, 2015-10-29, DE</w:t>
      </w:r>
    </w:p>
    <w:p>
      <w:r>
        <w:rPr>
          <w:b/>
        </w:rPr>
        <w:t xml:space="preserve">Quelle: </w:t>
      </w:r>
      <w:r>
        <w:t>https://mcp.opencaselaw.ch/entscheid/bvger_E-6837_2015</w:t>
      </w:r>
    </w:p>
    <w:p>
      <w:r>
        <w:t>FR: TAF E-6837/2015 du 29 octobre 2015</w:t>
      </w:r>
    </w:p>
    <w:p>
      <w:r>
        <w:t>IT: TAF E-6837/2015 del 29 ottobre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Der Zeitpunkt der Eröffnung der angefochtenen Verfügung steht mangels Vorliegens einer Empfangsbestätigung nicht fest. Da die Beweislast für die Zustellung an die Partei der eröffnenden Behörde obliegt (vgl. Moser/Beusch/Kneubühler, Prozessieren vor dem Bundesverwaltungsgericht, Basel 2013, 2. Aufl., Rz. 2.112, S. 76), ist zu Gunsten der Beschwerdeführerin davon auszugehen, dass die Beschwerde rechtzeitig erfolgt ist.</w:t>
      </w:r>
    </w:p>
    <w:p>
      <w:r>
        <w:rPr>
          <w:b/>
        </w:rPr>
        <w:t>E. 1.3</w:t>
      </w:r>
    </w:p>
    <w:p>
      <w:r>
        <w:t>Die Beschwerdeführerin ist als Verfügungsadressatin zur Beschwerdeführung legitimiert (Art. 48 VwVG). Auf die frist- und formgerecht eingereichte Beschwerde (Art. 108 Abs. 1 AsylG und Art. 52 Abs. 1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Art. 19 Abs. 1 aAsylG im Ausland bei einer Schweizerischen Vertretung gestellt werden, die es mit einem Bericht an das Bundesamt überweist (Art. 20 Abs. 1 aAsylG).</w:t>
      </w:r>
    </w:p>
    <w:p>
      <w:r>
        <w:rPr>
          <w:b/>
        </w:rPr>
        <w:t>E. 4.2</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stellt in der angefochtenen Verfügung fest, man könne den Bedenken der Beschwerdeführerin vor allfälligen Verfolgungshandlungen durch die sri-lankischen Sicherheitskräfte durchaus folgen. Die von ihr geltend gemachte Angst davor vermöge jedoch die Wahrscheinlichkeit einer einreisebeachtlichen Bedrohung zum jetzigen Zeitpunkt nicht hinlänglich zu begründen. Die regelmässigen Kontrollanrufe und das Patrouillieren vor dem Laden würden aufgrund ihrer Art und Intensität keine ernsthaften Nachteile im Sinne von Art. 3 AsylG darstellen. Dass es in den letzten zwei Jahren zu ernsthaften Vorfällen gekommen sei, lasse sich ihren Ausführungen nicht entnehmen.</w:t>
      </w:r>
    </w:p>
    <w:p>
      <w:r>
        <w:rPr>
          <w:b/>
        </w:rPr>
        <w:t>E. 5.2</w:t>
      </w:r>
    </w:p>
    <w:p>
      <w:r>
        <w:t>Die Beschwerdeführerin führt auf Beschwerdeebene aus, ehemalige LTTE-Mitglieder hätten den Sicherheitskräften weitere Informationen über sie gegeben. Nun werde sie gesucht. Ihr Bruder und ihre Mutter seien über sie befragt worden. Man habe ihnen gesagt, sie müsse sich in B._______ für eine Befragung melden. Sie sei von ihrer Mutter vorgewarnt worden und habe sich bei anderen Verwandten versteckt. Am 18. August 2015 hätten die Sicherheitskräfte bei ihrem Onkel, wo sie gelebt habe, nach ihr gesucht. Sie sei nicht mehr sicher.</w:t>
      </w:r>
    </w:p>
    <w:p>
      <w:r>
        <w:rPr>
          <w:b/>
        </w:rPr>
        <w:t>E. 5.3</w:t>
      </w:r>
    </w:p>
    <w:p>
      <w:r>
        <w:t>Das Bundesverwaltungsgericht anerkennt, dass die allgemeine Situation für die Tamilen, insbesondere im Norden und Osten Sri Lankas, während des langjährigen Bürgerkriegs sehr schwierig war. Namentlich gab es eine Vielzahl von Gewaltereignissen, Entführungen und unverhältnismässig langen Inhaftierungen. Diese Vorkommnisse stehen indes in Zusammenhang mit der damaligen Bürgerkriegssituation beziehungsweise den "Emergency Regulations" in Sri Lanka. Letztere wurden per Ende August 2011 aufgehoben. Seither hat sich die allgemeine Lage in Sri Lanka wesentlich verändert. Einer erhöhten Verfolgungsgefahr sehen sich heute Personen ausgesetzt, die einer bestimmten Risikogruppe angehören (dazu im Einzelnen BVGE 2011/24). Gemäss dem vorgenannten Entscheid unterliegen Personen, die auch nach Beendigung des Bürgerkriegs verdächtigt werden, mit den LTTE in Verbindung zu stehen beziehungsweise gestanden zu sein, einer erhöhten Verfolgungsgefahr. In der angefochtenen Verfügung hat die Vorinstanz ausführlich dargelegt, aus welchen Gründen die von der Beschwerdeführerin geltend gemachten Vorfälle nicht genügend intensiv sind, um als Verfolgung im Sinne von Art. 3 AsylG gelten zu können. Dies gilt ebenfalls für die auf Beschwerdeebene vorgebrachte angebliche Suche nach ihr und den Vorfall vom 18. August 2015, den die Beschwerdeführerin kaum substantiiert darlegt. Sie gehört demnach nicht zu dieser Risikogruppe. Auch sind den Akten keine Hinweise zu entnehmen, wonach sie zu einer der andern Risikogruppen gehören könnte. Weitergehend legt die Beschwerdeführerin nicht dar, inwiefern die Verfügung Bundesrecht verletzen oder aus einem anderen Beschwerdegrund mangelhaft sein soll. Solches ist auch nicht ersichtlich. Aus den eingereichten Beweismitteln kann die Beschwerdeführerin nichts zu ihren Gunsten ableiten. Ihr ist somit ein weiterer Verbleib in Sri Lanka zumutbar und sie ist nicht auf den Schutz der Schweiz angewiesen. Die Vorinstanz hat demnach der Beschwerdeführerin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