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E-6833/2024 vom 27. September 2024</w:t>
      </w:r>
    </w:p>
    <w:p>
      <w:r>
        <w:t>Bundesverwaltungsgericht, 2024-09-27, DE</w:t>
      </w:r>
    </w:p>
    <w:p>
      <w:r>
        <w:rPr>
          <w:b/>
        </w:rPr>
        <w:t xml:space="preserve">Quelle: </w:t>
      </w:r>
      <w:r>
        <w:t>https://mcp.opencaselaw.ch/entscheid/bvger_E-6833_2024_d20240927</w:t>
      </w:r>
    </w:p>
    <w:p>
      <w:r>
        <w:t>FR: TAF E-6833/2024 du 27 septembre 2024</w:t>
      </w:r>
    </w:p>
    <w:p>
      <w:r>
        <w:t>IT: TAF E-6833/2024 del 27 settembre 2024</w:t>
      </w:r>
    </w:p>
    <w:p>
      <w:pPr>
        <w:pStyle w:val="Heading2"/>
      </w:pPr>
      <w:r>
        <w:t>Regeste</w:t>
      </w:r>
    </w:p>
    <w:p>
      <w:r>
        <w:t>Asyl und Wegweisung | Asyl und Wegweisung; Verfügung des SEM vom 27. September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 führung legitimiert (Art. 48 VwVG). Auf die frist- und formgerecht einge- reichte Beschwerde ist einzutreten (Art. 105 und Art. 108 Abs. 2 AsylG i.V.m. Art. 52 Abs. 1 VwVG), nachdem auch der Kostenvorschuss fristge- recht geleistet worden ist.</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Die Beschwerdeführenden begründen ihr Kassationsbegehren damit, dass das SEM die erheblichen gesundheitlichen Risiken einer Wegwei- sung des Beschwerdeführers unterschätzt habe. Sie präzisieren jedoch nicht, welche weitere Abklärungen nötig gewesen wären, und aus den Ak- ten ergibt sich, dass der gesundheitliche Sachverhalt feststeht. Der Um- stand, dass die Beschwerdeführenden das gesundheitliche Risiko einer Wegweisung anders einschätzen als das SEM, ist eine Frage des materi- ellen Rechts und wird an der entsprechenden Stelle behandelt (vgl. unten E. 8.3.2). Auch sonst sind den Akten keine Hinweise auf Verfahrensfehler zu entnehmen, weshalb der Subeventualantrag um Rückweisung der Be- schwerdesache zur Neubeurteilung an die Vorinstanz abzuweisen ist.</w:t>
      </w:r>
    </w:p>
    <w:p>
      <w:r>
        <w:rPr>
          <w:b/>
        </w:rPr>
        <w:t>E. 3.2</w:t>
      </w:r>
    </w:p>
    <w:p>
      <w:r>
        <w:t>Ausserdem stellen die Beschwerdeführenden einen Antrag um «um- fassende Einsicht in den Analysebericht». Dem Gericht erschliesst sich</w:t>
      </w:r>
    </w:p>
    <w:p>
      <w:r>
        <w:t>E-6833/2024 Seite 5 aber nicht, betreffend welche Akten die Beschwerdeführenden um Einsicht ersuchen. Darauf wurden sie auch mit Zwischenverfügung vom 15. No- vember 2024 aufmerksam gemacht. Sie haben ihren Antrag bis heute nicht präzisiert und gemäss dem angefochtenen Asylentscheid wurden ihnen die editionspflichtigen Akten gemäss Aktenverzeichnis ausgehändigt (vgl. dort Dispositivziffer 6). Daher ist auf den in der Beschwerde gestellten Antrag um Akteneinsicht nicht weiter einzugehen.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 cher Wahrscheinlichkeit und in absehbarer Zeit verwirklicht und/oder werde sich – auch aus heutiger Sicht – mit ebensolcher Wahrscheinlichkeit in ab- sehbarer Zukunft verwirklichen. Es müssen demnach hinreichende An- 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4.3</w:t>
      </w:r>
    </w:p>
    <w:p>
      <w:r>
        <w:t>Wer um Asyl nachsucht, muss die Flüchtlingseigenschaft nachweisen oder zumindest glaubhaft machen. Diese ist glaubhaft gemacht, wenn die</w:t>
      </w:r>
    </w:p>
    <w:p>
      <w:r>
        <w:t>E-6833/2024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lehnte das Asylgesuch ab mit der Begründung, die Vorbrin- gen der Beschwerdeführenden würden keine Asylrelevanz entfalten. Be- züglich des vom Beschwerdeführer geltend gemachten Ermittlungsverfah- rens hielt es fest, dass er strafrechtlich unbescholten sei. Auch sein famili- äres Umfeld sei nicht risikoschärfend, zumal er in Zusammenhang mit den Aktivitäten seiner Mutter nie asylrelevant verfolgt worden sei. Er verfüge über kein exponiertes politisches Profil, weshalb eine Verurteilung zu einer unbedingten Freiheitsstrafe sehr unwahrscheinlich sei. Die allgemeinen Nachteile, die Aleviten in der Türkei erfahren würden, seien nicht genügend intensiv und stünden in keinem Kausalzusammenhang zu der Ausreise der Beschwerdeführenden. Die Beleidigungen und Drohungen per Telefon und via soziale Medien im Zusammenhang mit der Festnahme der Mutter des Beschwerdeführers im Jahr 2020 würden ebenfalls nicht zur objektiv be- gründeten Furcht vor asylrelevanter Verfolgung führen. Die Glaubhaftigkeit der Vorbringen sei zweifelhaft, könne aber angesichts ihrer fehlenden Asyl- relevanz offengelassen werden.</w:t>
      </w:r>
    </w:p>
    <w:p>
      <w:r>
        <w:rPr>
          <w:b/>
        </w:rPr>
        <w:t>E. 5.2</w:t>
      </w:r>
    </w:p>
    <w:p>
      <w:r>
        <w:t>Dem entgegnen die Beschwerdeführenden – abgesehen von der Dar- legung des Sachverhalts sowie allgemeinen Ausführungen zur Lage von Personen kurdischer Ethnie und alevitischen Glaubens in der Türkei – es seien Ermittlungen wegen oppositionell-politischer Aktivitäten gegen den Beschwerdeführer im Gange. Viele Personen, gegen welche ein Haftbefehl erlassen worden sei, würden nicht wieder freigelassen. Gemäss der Vorinstanz führten rund ein Drittel der im Zusammenhang mit dem türki- schen Antiterrorgesetz eingeleiteten Ermittlungen zu Verurteilungen. Dies seien nicht wenige. Eine Inhaftierung sei insbesondere möglich, wenn bei einer beschuldigten Person Fluchtgefahr bestehe. Der Beschwerdeführer sei ausgereist, weshalb die türkischen Behörden von einer Fluchtgefahr ausgehen müssten. Die Gefahr einer Inhaftierung sei bei Personen aus politisch aktiven Familien – wie den Beschwerdeführenden – noch grösser.</w:t>
      </w:r>
    </w:p>
    <w:p>
      <w:r>
        <w:rPr>
          <w:b/>
        </w:rPr>
        <w:t>E. 6.1</w:t>
      </w:r>
    </w:p>
    <w:p>
      <w:r>
        <w:t>Die Vorinstanz ist zur zutreffenden Erkenntnis gelangt, dass die Vor- bringen der Beschwerdeführenden nicht asylrelevant sind. Um Wieder -</w:t>
      </w:r>
    </w:p>
    <w:p>
      <w:r>
        <w:t>E-6833/2024 Seite 7 holungen zu vermeiden, kann mit den nachfolgenden Ergänzungen auf die vorinstanzlichen Erwägungen verwiesen werden (vgl. angefochtene Verfü- gung Ziffer II, Zusammenfassung oben E. 5.1); diese sind nicht zu bean- standen. Insbesondere hat das SEM zutreffend festgehalten, dass die Be- schwerdeführenden legal mit bewilligten Visa und den eigenen Reisepäs- sen ausgereist sind, was gegen ein asylrelevantes staatliches Verfolgungs- interesse spricht.</w:t>
      </w:r>
    </w:p>
    <w:p>
      <w:r>
        <w:rPr>
          <w:b/>
        </w:rPr>
        <w:t>E. 6.2</w:t>
      </w:r>
    </w:p>
    <w:p>
      <w:r>
        <w:t>Was die vorgebrachten Strafverfahren betrifft, ist Folgendes festzuhal- ten:</w:t>
      </w:r>
    </w:p>
    <w:p>
      <w:r>
        <w:rPr>
          <w:b/>
        </w:rPr>
        <w:t>E. 6.2.1</w:t>
      </w:r>
    </w:p>
    <w:p>
      <w:r>
        <w:t>Aus den Akten ergibt sich, dass – bei Wahrunterstellung – gegen den Beschwerdeführer ein Gerichtsverfahren wegen Beleidigung des türki- schen Volkes, des Staates der türkischen Republik, des türkischen Parla- ments, der türkischen Regierung und der Justiz- und Staatsorgane nach Art. 301 des türkischen Strafgesetzbuches (nachfolgend: tStGB) vorliegt. Er hat in diesem Zusammenhang einen Trennungsbeschluss (Ayirma Ka- rari) vom 7. Dezember 2022, einen Überweisungsbericht vom 8. Dezem- ber 2022, zwei Schreiben seiner türkischen Anwältin vom 6. Januar 2023 und vom 13. März 2023, einen Ermächtigungsantrag des Justizministeri- ums vom 7. März 2023, ein Schreiben der Staatsanwaltschaft E._______ vom 20. März 2023, ein Schreiben der Staatsanwaltschaft E._______ an die Polizeidirektion E._______ vom 23. März 2023, eine Anklageschrift (lddianame) vom 14. April 2023, einen Eingangsbeschluss (Tensip Zapti) vom 3. Mai 2023, eine Zwangsvorladung der F._______ vom 2. November 2023, einen Vorführbefehl (Yakalama Emri) der F._______ vom 15. Feb- ruar 2024 und gerichtliche Verhandlungsprotokolle (Durusma Tutanagi) eingereicht (vgl. SEM act. […] - [nachfolgend: SEM act.] 33/59).</w:t>
      </w:r>
    </w:p>
    <w:p>
      <w:r>
        <w:rPr>
          <w:b/>
        </w:rPr>
        <w:t>E. 6.2.2</w:t>
      </w:r>
    </w:p>
    <w:p>
      <w:r>
        <w:t>Gemäss dem Referenzurteil des Bundesverwaltungsgerichts E-4103/2024 vom 8. November 2024 bestehen keine stichhaltigen Gründe für die Annahme, dass Personen, die in der Türkei von Verfahren wegen Terrorpropaganda (Art. 7 Abs. 2 des türkischen Antiterrorgesetzes [ATG]) oder Präsidentenbeleidigung (Art. 299 des türkischen Strafgesetzbuches [tStGB]) betroffen sind, im Rahmen der Ermittlungs- und Strafverfahren ge- nerell einen Politmalus im absoluten oder relativen Sinn zu befürchten hät- ten, weshalb sich aus diesem Umstand alleine noch keine begründete Furcht vor mit beachtlicher Wahrscheinlichkeit in absehbarer Zukunft ein- tretenden Verfolgungsmassnahmen gemäss Art. 3 AsylG ergibt (vgl. a.a.O. E. 8.7.3 und E. 8.8). Gemäss Praxis des Bundesverwaltungsgerichts gilt dies auch für Gerichtsverfahren in Zusammenhang mit Straftaten nach</w:t>
      </w:r>
    </w:p>
    <w:p>
      <w:r>
        <w:t>E-6833/2024 Seite 8 Art. 301 tStGB (vgl. statt vieler Urteil BVGer E-3128/2025 vom 19. August 2025 E. 6.4.3 m.w.H.). Allerdings ist im Einzelfall zu prüfen, ob sich im konkreten Verfahren Hin- weise auf einen individuellen Politmalus oder auf Gründe ergeben, die zu einer längeren Freiheitsstrafe führen könnten, wobei Risikofaktoren insbe- sondere frühere Verurteilungen sowie ein exponiertes politisches Profil dar- stellen (vgl. zit. Referenzurteil E-4103/2024 E. 8.7.4).</w:t>
      </w:r>
    </w:p>
    <w:p>
      <w:r>
        <w:rPr>
          <w:b/>
        </w:rPr>
        <w:t>E. 6.2.3</w:t>
      </w:r>
    </w:p>
    <w:p>
      <w:r>
        <w:t>Laut Trennungsbeschlusses (Ayirma Karari) vom 7. Dezember 2022 hat sich der Beschwerdeführer selbst bei der Polizei gemeldet und ange- geben, er habe in der Zeitschrift «(…)» unter dem Pseudonym «(…)» den Artikel «(…)» veröffentlicht. Dies widerspricht seiner Angabe, die Staatsan- waltschaft habe durch Nachfragen bei der Zeitung seine Personalien er- mittelt (vgl. SEM act. 36/13 F31 f.). Es ist ohnehin in Zweifel zu ziehen, ob er den von ihm eingereichten Artikel selbst «zusammengestellt» hat. «(…)» hat nämlich gemäss der Webseite der Zeitschrift «(…)» insgesamt mindes- tens drei regimekritische Berichte verfasst (vgl. &lt; […] &gt;, abgerufen am 11. Dezember 2025). Es ist nicht nachvollziehbar, dass der Beschwerdeführer in seiner Anhörung nur einen davon erwähnt hat, wenn er sich tatsächlich hinter dem obengenannten Pseudonym verbergen würde. Diese Zweifel werden weiter dadurch verstärkt, dass der Artikel hauptsächlich die Be- nachteiligungen der kurdischen Bevölkerung sowie die Frauenrechtsbewe- gung in der Türkei behandelt und – entgegen den Aussagen des Beschwer- deführers – nur am Rande die Verfolgung der alevitischen Bevölkerung thematisiert (vgl. SEM act. 36/13 F25, F38). Nach dem Gesagten ergeben sich aus den Akten deutliche Hinweise auf einen Versuch des Beschwer- deführers, mit einer bewusst (und durch Selbstanzeige) herbeigeführten staatlichen Strafverfolgung in rechtsmissbräuchlicher Absicht Asylgründe zu konstruieren (vgl. Trennungsbeschluss [Ayirma Karari] vom 7. Dezem- ber 2022, SEM act. ID-001 und Übersetzung in SEM act. ID-006). Dies dürfte auch den türkischen Behörden bewusst sein. Die Glaubhaftigkeit des gegen ihn – einzig wegen des regimekritischen Artikels (vgl. auch An- waltsschreiben vom 6. Januar 2023) – eröffneten Strafverfahrens sowie die Echtheit der eingereichten Verfahrensakten können aber aus den nachfol- genden Gründen offengelassen werden. Gemäss eigenen Angaben ist der Beschwerdeführer strafrechtlich nicht vorbelastet und gilt somit als «Ersttäter» (vgl. SEM act. 36/13 F41). Zudem verfügt er trotz seiner Behauptung, der Opposition anzugehören, über kein geschärftes politisches Profil (vgl. a.a.O. F25). Seine politischen Aktivitäten</w:t>
      </w:r>
    </w:p>
    <w:p>
      <w:r>
        <w:t>E-6833/2024 Seite 9 beschränken sich darauf, dass er manchmal die Vorträge von Parlamenta- riern kopiert sowie in den sozialen Medien gepostet und sich dort zur Situ- ation seiner Mutter geäussert habe (vgl. SEM act. 36/13 F36, F55). Er hat keine Belege für diese angeblichen Tätigkeiten eingereicht und auch in den türkischen Verfahrensakten finden sich keine diesbezüglichen Hinweise. Die Glaubhaftigkeit des Vorbringens, er habe einen regimekritischen Artikel veröffentlicht, ist gemäss den obenstehenden Ausführungen ebenfalls mit Zweifeln behaftet. Auch die Verwandtschaft zu seiner Mutter führt nicht zur Annahme eines exponierten politischen Profils. Diese sei zuletzt bei ihrer Einreise in die Türkei im (…) 2020 während zwei bis drei Tagen inhaftiert worden (vgl. SEM act. 36/13 F25). In der Folge habe er gesellschaftliche Ausgrenzung (Beleidigungen, Beschimpfungen) erfahren und anonyme Drohanrufe bekommen (vgl. a.a.O. F8). Er machte aber in diesem Zusam- menhang keine asylrelevanten staatlichen Verfolgungsmassnahmen gel- tend und ist im Dezember 2022 legal mit einem Visum aus der Türkei aus- gereist (vgl. SEM act. 29/11 Ziffer 5.04). Es ist nicht anzunehmen, dass er nun – mehrere Jahre später – in irgendeiner Weise vonseiten des türki- schen Staats wegen seiner Mutter verdächtigt wird. Das Argument in der Beschwerde, es gebe keine fairen Urteile gegen re- gimekritische Kurden, ist unbeachtlich. Die Beschwerdeführenden haben nämlich an keiner Stelle angegeben, kurdischer Ethnie zu sein. Auf den Personalienblättern haben sie jeweils aufgeschrieben, die «alevitische Eth- nie» und türkische Staatsangehörigkeit zu haben. Alle haben als Mutter- sprache Türkisch angegeben (vgl. SEM act. 1/2, 2/2, 3/2, 4/2). Vor diesem Hintergrund ist nicht davon auszugehen, dass gegen den Be- schwerdeführer eine unbedingte mehrjährige und mit einem Politmalus be- haftete Freiheitsstrafe ausgefällt wird. Er selbst und seine türkische Anwäl- tin gehen von einer maximalen Haftstrafe von zwei Jahren aus (vgl. SEM act. 36/13 F45; Anwaltsschreiben vom 6. Januar 2023, ID-003/1 und Über- setzung in SEM act. ID-006). Nach dem oben Gesagten und gemäss Pra- xis der türkischen Gerichte ist im Übrigen ohnehin davon auszugehen, dass eine allfällige Haftstrafe vorliegend bedingt ausgesprochen (Art. 51 tStGB) respektive die Verkündigung des Strafurteils aufgeschoben wird (Art. 231 Abs. 5 der türkischen Strafprozessordnung [tStPO]; vgl. statt vie- ler Urteil des BVGer E-3105/2025 vom 19. August 2025 E. 6.4.2 m.w.H.). Auch aus den Verfahrensakten betreffend ein türkisches Straf-/Gerichts- verfahren von G._______ – welche entgegen der Behauptung in der Be- schwerde dieser nicht angehängt sind – vermögen die</w:t>
      </w:r>
    </w:p>
    <w:p>
      <w:r>
        <w:t>E-6833/2024 Seite 10 Beschwerdeführenden nichts zu ihren Gunsten abzuleiten, zumal aus den Akten nicht hervorgeht, dass diese Person in irgendeiner Verbindung zu den Beschwerdeführenden steht (vgl. Urteil des BVGer E-5134/2024 vom 17. Oktober 2024 E. 8).</w:t>
      </w:r>
    </w:p>
    <w:p>
      <w:r>
        <w:rPr>
          <w:b/>
        </w:rPr>
        <w:t>E. 6.2.4</w:t>
      </w:r>
    </w:p>
    <w:p>
      <w:r>
        <w:t>Nach dem Gesagten liegen keine Hinweise dafür vor, dass der Be- schwerdeführer im Zusammenhang mit dem geltend gemachten hängigen Strafverfahren in der Türkei mit erheblicher Wahrscheinlichkeit und in ab- sehbarer Zukunft eine flüchtlingsrechtlich relevante, mit einem Politmalus behaftete Verfolgung zu befürchten hat.</w:t>
      </w:r>
    </w:p>
    <w:p>
      <w:r>
        <w:rPr>
          <w:b/>
        </w:rPr>
        <w:t>E. 6.3</w:t>
      </w:r>
    </w:p>
    <w:p>
      <w:r>
        <w:t>Die allgemeinen Schikanen und Diskriminierungen, welchen die alevi- tische Bevölkerung in der Türkei durchaus ausgesetzt ist, führen gemäss gefestigter Rechtsprechung für sich allein mangels Intensität ebenfalls nicht zur Bejahung der Flüchtlingseigenschaft (vgl. statt vieler: Urteil des BVGer E-3825/2024 vom 7. November 2024 E. 6.4 m.w.H.).</w:t>
      </w:r>
    </w:p>
    <w:p>
      <w:r>
        <w:rPr>
          <w:b/>
        </w:rPr>
        <w:t>E. 6.4</w:t>
      </w:r>
    </w:p>
    <w:p>
      <w:r>
        <w:t>Zusammenfassend haben die Beschwerdeführenden nichts vorge- bracht, was geeignet wäre, ihre Flüchtlingseigenschaft nachzuweisen oder zumindest glaubhaft zu machen. Die Vorinstanz hat daher ihre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Mai 2025 E. 7.3.1 m.w.H.; vgl. auch das Referenzurteil E-4103/2024 vom 8. November 2024 E. 13 m.w.H. sowie das Referenzurteil E- 1948/2018 vom 12. Juni 2018 E. 7.3.1 f.).</w:t>
      </w:r>
    </w:p>
    <w:p>
      <w:r>
        <w:rPr>
          <w:b/>
        </w:rPr>
        <w:t>E. 8.1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[SR 142.20]). Gemäss</w:t>
      </w:r>
    </w:p>
    <w:p>
      <w:r>
        <w:t>E-6833/2024 Seite 11 Art. 83 Abs. 4 AIG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AIG – die vorläufige Aufnahme zu gewähren. Der Vollzug ist schliesslich nicht möglich, wenn die Auslän- 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t>E-6833/2024 Seite 12 Nach dem Gesagten ist der Vollzug der Wegweisung sowohl im Sinne der asyl- als auch der völkerrechtlichen Bestimmungen zulässig.</w:t>
      </w:r>
    </w:p>
    <w:p>
      <w:r>
        <w:rPr>
          <w:b/>
        </w:rPr>
        <w:t>E. 8.3.1</w:t>
      </w:r>
    </w:p>
    <w:p>
      <w:r>
        <w:t>Auch unter Berücksichtigung des Wiederaufflammens des türkisch- kurdischen Konfliktes sowie der bewaffneten Auseinandersetzungen zwi- schen der PKK (Kurdische Arbeiterpartei) und staatlichen Sicherheitskräf- ten seit Juli 2015 und der Entwicklungen nach dem Militärputschversuch im Juli 2016 ist gemäss konstanter gerichtlicher Praxis nicht von einer Si- tuation allgemeiner Gewalt oder bürgerkriegsähnlichen Verhältnissen in der gesamten Türkei auszugehen (vgl. Urteil des BVGer E-6056/2024 vom</w:t>
      </w:r>
    </w:p>
    <w:p>
      <w:r>
        <w:rPr>
          <w:b/>
        </w:rPr>
        <w:t>E. 8.3.2</w:t>
      </w:r>
    </w:p>
    <w:p>
      <w:r>
        <w:t>In individueller Hinsicht sind ebenfalls keine Gründe ersichtlich, wel- che den Wegweisungsvollzug als unzumutbar erscheinen liessen. Die voll- jährigen Beschwerdeführenden besitzen einen Schul- beziehungsweise Universitätsabschluss und mehrjährige Berufserfahrung (vgl. SEM act. 36/13 F6 ff., SEM act. 38/12 F17 ff.). In der Türkei verfügen sie über ein breites familiäres Netz, zumal viele Familienangehörigen sich noch dort befinden (vgl. SEM act. 36/13 F21, SEM act. 38/12 F34, F37). Das Kindes- wohl steht einem Wegweisungsvollzug ebenfalls nicht entgegen, zumal die Söhne in der Türkei geboren und aufgewachsen sind. Ausserdem werden sie mit ihren Eltern und somit ihren primären Bezugspersonen in ihr Hei- matland zurückkehren. Auch die gesundheitlichen Probleme des älteren Sohnes C._______ ([…]) stellen kein Wegweisungsvollzugshindernis dar. Gemäss den Aussagen der Beschwerdeführerin wurde er nämlich bereits in der Türkei behandelt und besuchte dort den Sonderunterricht. Es sind den Akten keine Hinweise dafür zu entnehmen, dass weitere Behandlun- gen und Abklärungen nicht ebenfalls dort vorgenommen werden können (vgl. SEM act. 38/12 F15, F52).</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t>E-6833/2024 Seite 13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Der in gleicher Höhe geleistete Kostenvorschuss wird zur Bezahlung der Verfahrenskosten verwendet.</w:t>
      </w:r>
    </w:p>
    <w:p>
      <w:r>
        <w:t>(Dispositiv nächste Seite)</w:t>
      </w:r>
    </w:p>
    <w:p>
      <w:r>
        <w:t>E-6833/2024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