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E-6833/2019 vom 29. April 2021</w:t>
      </w:r>
    </w:p>
    <w:p>
      <w:r>
        <w:t>Bundesverwaltungsgericht, 2021-04-29, DE</w:t>
      </w:r>
    </w:p>
    <w:p>
      <w:r>
        <w:rPr>
          <w:b/>
        </w:rPr>
        <w:t xml:space="preserve">Quelle: </w:t>
      </w:r>
      <w:r>
        <w:t>https://mcp.opencaselaw.ch/entscheid/bvger_E-6833_2019</w:t>
      </w:r>
    </w:p>
    <w:p>
      <w:r>
        <w:t>FR: TAF E-6833/2019 du 29 avril 2021</w:t>
      </w:r>
    </w:p>
    <w:p>
      <w:r>
        <w:t>IT: TAF E-6833/2019 del 29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Am 1. Januar 2019 wurde das Ausländergesetz vom 16. Dezember 2005 (AuG) teilrevidiert (AS 2018 3171) und in Ausländer- und Integrationsgesetz (AIG) umbenannt. Die vorliegend anzuwendenden Gesetzesartikel (insbesondere Art. 83) sind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kommt in der angefochtenen Verfügung zum Schluss, dass die Vorbringen des Beschwerdeführers den Anforderung nach Art. 3 und 7 AsylG nicht standhalten würden. Zunächst führte sie aus, dass die von ihm geltend gemachte einmonatige Haft Anfang 2007 mangels zeitlichen und sachlichen Kausalzusammenhangs nicht asylrelevant sei. Es würden keine Anhaltspunkte vorliegen, dass er aus dem Vorkommnis zum Zeitpunkt der Ausreise noch asylbeachtliche Nachteile zu gewärtigen gehabt hätte. In Bezug auf die dargelegten Verhöre durch die sri-lankischen Sicherheitskräfte sei festzustellen, dass er sowohl in E._______ als auch nach seiner im Jahr 2010 erfolgten Rückkehr aus F._______ befragt worden sei, ob er für die Bewegung gekämpft habe und in welcher Einheit er tätig gewesen sei. Ein weiteres Verhör habe es im Oktober 2012 im Zusammenhang mit Protesten gegeben, wobei diese Anhörung eine zwei- oder dreimonatige Meldepflicht nach sich gezogen habe. Bis zum Tod von D._______ im November 2014 habe er sich keinen Verhören mehr unterziehen müssen. Die Verhöre hätten mithin, abgesehen von der Meldepflicht, keine weiterreichenden Verfolgungsmassnahmen nach sich gezogen, so dass nicht davon auszugehen sei, dass die sri-lankischen Behörden persönlich an ihm interessiert gewesen seien und ihn verdächtigt hätten, mit den LTTE in Verbindung gestanden beziehungsweise an Kampfhandlungen teilgenommen zu haben. Hätten die Behörden einen Verdacht gegen ihn gehegt, wäre es kaum bei den Verhören geblieben. Dafür spreche ausserdem, dass er in E._______ durch das CID befragt worden sei und dieses es nicht für nötig erachtet hätte, ihn einer Rehabilitation zu unterziehen. Entsprechend habe er auch selbst vorgebracht, die Situation habe sich im Jahr 2010 beruhigt und er habe an seinen Wohnort zurückkehren können. Tatsächlich sei es zu jenem Zeitpunkt im Norden Sri Lankas zu einer umfassenden Überwachung der Zivilbevölkerung durch die Sicherheitskräfte gekommen. Solche Kontrollen und Verhöre seien aber von ihrer Art und Intensität her nicht geeignet, die Asylrelevanz zu begründen. Ebenso in Bezug auf die vom Beschwerdeführer geäusserte Angst vor Verfolgungsmassnahmen nach dem Tod von D._______ im November 2014 sei festzuhalten, dass es an konkreten Indizien und Anhaltpunkten fehle, welche die Furcht vor einer real drohenden Verfolgung nachvollziehbar erscheinen liesse. Bei D._______ handle es sich zwar tatsächlich um ein ehemaliges ranghohes LTTE-Mitglied, das im November 2014 in H._______ erschossen worden sei. Es sei aber nicht nachvollziehbar, wieso dem Beschwerdeführer nach dessen Tod Verfolgungsmassnahmen hätten drohen sollen, zumal er seinen Angaben zufolge den sri-lankischen Behörden alles über seine Zusammenarbeit mit D._______ erzählt habe. Ausserdem seien seine Aussagen diesbezüglich vage und unbestimmt geblieben und teils widersprüchlich gewesen. Schliesslich sei nicht ersichtlich, weshalb er bei einer Rückkehr nach Sri Lanka in den Fokus der Behörden geraten sollte: Allfällige, im Zeitpunkt der Ausreise bestehende Risikofaktoren hätten kein Verfolgungsinteresse der Behörden ausgelöst, so dass nicht davon auszugehen sei, dass er in den Augen der sri-lankischen Sicherheitsbehörden als Person gelte, die eine besonders enge Beziehung zu den LTTE gepflegt habe.</w:t>
      </w:r>
    </w:p>
    <w:p>
      <w:r>
        <w:rPr>
          <w:b/>
        </w:rPr>
        <w:t>E. 4.2</w:t>
      </w:r>
    </w:p>
    <w:p>
      <w:r>
        <w:t>Dem hält der Beschwerdeführer in der Beschwerde entgegen, dass die im Jahre 2007 erfolgte Haft immer noch aktuell sei und ihn belaste. Er sei bereits im Alter von 12 Jahren Ziel staatlicher Verfolgung geworden und diese Verfolgung dauere bis heute an. Dass er bei einer Rückkehr verhaftet werden könnte, erscheine gerade mit dem politischen Machtwechsel in Sri Lanka sehr wohl möglich. Es sei davon auszugehen, dass er seit der Haft im Jahre 2007 durch die staatlichen Sicherheitskräfte vorgemerkt sei. Er sei aktenkundig, habe im Umkreis des getöteten D._______ gestanden und sei für ein Jahr in F._______ untergetaucht. Entsprechend stehe er unter besonderem Verdacht. Ausserdem stamme er aus einem LTTE-freundlichen Umfeld und habe die LTTE seit seiner Schulzeit bis zum Kriegsende unterstützt. Ein Cousin sei «Captain» gewesen und habe den Heldentod gefunden. Selbst nach der Zerschlagung der LTTE habe er sein politisches Engagement fortgeführt und beispielsweise an Demonstrationen teilgenommen. All diese Umstände seien für die Sicherheitskräfte von Interesse. Schliesslich sei auf seine Ausführungen im Rahmen der Anhörung abzustellen; die BzP sei zu summarisch geführt worden, als dass darauf abgestellt werden könnte.</w:t>
      </w:r>
    </w:p>
    <w:p>
      <w:r>
        <w:rPr>
          <w:b/>
        </w:rPr>
        <w:t>E. 5.1</w:t>
      </w:r>
    </w:p>
    <w:p>
      <w:r>
        <w:t>Das Bundesverwaltungsgericht kommt nach Durchsicht der Akten zum Schluss, dass die Vorinstanz das Asylgesuch des Beschwerdeführers mit zutreffender Begründung abgelehnt hat. Die Entgegnungen in der Beschwerdeeingabe vermögen zu keiner anderen Betrachtungsweise zu führen. Zur Vermeidung von Wiederholungen kann vorab vollumfänglich auf die entsprechenden Erwägungen in der angefochtenen Verfügung verwiesen werden (s. angefochtene Verfügung S. 3 ff.).</w:t>
      </w:r>
    </w:p>
    <w:p>
      <w:r>
        <w:rPr>
          <w:b/>
        </w:rPr>
        <w:t>E. 5.2</w:t>
      </w:r>
    </w:p>
    <w:p>
      <w:r>
        <w:t>Zunächst ist festzustellen, dass das vom Beschwerdeführer während und kurz nach seiner Schulzeit geltend gemachte Engagement für die LTTE sowie die im Jahre 2007, mithin während des Bürgerkriegs erfolgte einmonatige Inhaftierung und die dabei erlittenen Misshandlungen mangels eines ausreiserelevanten Sachzusammenhangs zu seiner Ausreise, wie vom SEM mit zutreffender Begründung festgehalten, für sich betrachtet nicht asylrelevant sind. Die diesbezüglichen Ausführungen auf Beschwerdeebene sind nicht geeignet, zu einer anderen Beurteilung zu führen.</w:t>
      </w:r>
    </w:p>
    <w:p>
      <w:r>
        <w:rPr>
          <w:b/>
        </w:rPr>
        <w:t>E. 5.3</w:t>
      </w:r>
    </w:p>
    <w:p>
      <w:r>
        <w:t>Das Vorbringen des Beschwerdeführers, er sei nach seiner Inhaftierung erneut gesucht worden, weswegen er im September 2007 nach C._______ gegangen sei, ist weitgehend unsubstantiiert geblieben. So brachte er lediglich in allgemeiner Weise vor, er sei gesucht worden und seine Angehörigen hätten ihm davon erzählt, er sei aber bei der Arbeit gewesen (act. A15/20 F57). Die Umstände der Suche nach ihm vermochte er auch auf Nachfrage hin nicht näher darzulegen (act. A15/20 F58). Ebenso wenig konnte er einen Grund für die Suche nach ihm nennen (act. A15/20 F60). Seine Antwort auf die Frage nach allfälligen behördlichen Behelligungen während seiner Zeit in C._______ fiel ebenfalls knapp und unsubstantiiert aus (act. A15/20 F69).</w:t>
      </w:r>
    </w:p>
    <w:p>
      <w:r>
        <w:rPr>
          <w:b/>
        </w:rPr>
        <w:t>E. 5.4</w:t>
      </w:r>
    </w:p>
    <w:p>
      <w:r>
        <w:t>In Bezug auf die vorgebrachten Verhöre ist Folgendes festzustellen: Nach Ende des Bürgerkriegs wurde der Beschwerdeführer eigenen Angaben gemäss im Camp in E._______ durch CID-Beamte zusammen mit weiteren Personen befragt. Seine Freilassung erfolgte nach drei Monaten (act. A15/20 F73). Sodann habe er sich 2010 im Armeecamp in G._______ melden müssen. Ihm seien beide Male dieselben Fragen gestellt worden, insbesondere, ob er an bewaffneten Kämpfen teilgenommen habe, was er wahrheitsgetreu jeweils verneint habe (act. A15/20 F79, 81). Diese Anhörungen sind, unter dem Blickwinkel der damaligen Lage in Sri Lanka, als Teil der umfassenden Überwachung der tamilischen Zivilbevölkerung zu erachten. Ob solche in der Vergangenheit erfolgten behördlichen Massnahmen und Behelligungen auch zum heutigen Zeitpunkt relevant im Sinne von Art. 3 AsylG sind, ist im Einzelfall zu beurteilen. Im vorliegenden Fall ist festzustellen, dass sich den Angaben des Beschwerdeführers zufolge die Lage nach diesen behördlichen Befragungen normalisiert habe, er Mitte 2010 in seinen Heimatort zurückkehren konnte und dort keinen weiteren behördlichen Massnahmen ausgesetzt war (act. A15/20 F78). Es ist somit nicht davon auszugehen, dass die Behörden ihn weiterhin spezifisch im Fokus gehabt hätten. Ebenso wenig wurde er über längere Zeit festgehalten oder einem Rehabilitierungsprogramm zugewiesen. Was eine weitere Befragung im Oktober 2012 anbelangt, welche im Zusammenhang mit dem Tod eines politischen Gefangenen gestanden haben soll (act. A15/20 F83, 89 ff.), machte der Beschwerdeführer geltend, danach einer zwei- bis dreimonatigen Meldepflicht unterstanden zu haben. Auch diese Massnahme vermag für sich gesehen eine zum Zeitpunkt der Ausreise bestehende Verfolgung oder objektive Verfolgungsfurcht nicht zu begründen. Die Verhöre hatten, wie das SEM zutreffend festgestellt hat, abgesehen von der Meldepflicht, keine weiterreichenden Verfolgungsmassnahmen nach sich gezogen. Es ist nicht davon auszugehen, dass die sri-lankischen Behörden persönlich am Beschwerdeführer interessiert gewesen sind und ihn verdächtigt haben, mit den LTTE in relevanter Weise in Verbindung gestanden beziehungsweise an Kampfhandlungen teilgenommen zu haben. Nach Leistung seiner Meldepflicht lebte der Beschwerdeführer überdies weiterhin unbehelligt in seinem Heimatdorf. Diesbezüglich ist ferner festzustellen, dass seine Ausführungen die vorgebrachte Unterschriftspflicht betreffend vage und unsubstanziiert ausfielen und dabei nicht der Eindruck entsteht, es handle sich um persönlich Erlebtes (act. A15/20 F97).</w:t>
      </w:r>
    </w:p>
    <w:p>
      <w:r>
        <w:rPr>
          <w:b/>
        </w:rPr>
        <w:t>E. 5.5</w:t>
      </w:r>
    </w:p>
    <w:p>
      <w:r>
        <w:t>Soweit der Beschwerdeführer vorbringt, er habe im Jahre 2013 für die Vereinten Nationen Angaben zu vermissten Personen gesammelt und an einer Demonstration in seinem Dorf im Zusammenhang mit dem Besuch von David Cameron teilgenommen, ist festzuhalten, dass nicht davon auszugehen ist, dass er wegen dieser Aktivitäten ernsthaft in den Fokus der sri-lankischen Behörden gelangt ist. So führt er an der Anhörung selbst aus, während dieser Zeit keine Probleme gehabt zu haben (act. A15/20 F100).</w:t>
      </w:r>
    </w:p>
    <w:p>
      <w:r>
        <w:rPr>
          <w:b/>
        </w:rPr>
        <w:t>E. 5.6</w:t>
      </w:r>
    </w:p>
    <w:p>
      <w:r>
        <w:t>Schliesslich ist der Vorinstanz hinsichtlich der Einschätzung betreffend das Vorbringen um den Tod von D._______ zuzustimmen. Es kann zwar nicht ausgeschlossen werden, dass der Beschwerdeführer in den Jahren des Bürgerkriegs tatsächlich für D._______ Arbeiten verrichtete und nach dem Bürgerkrieg Kontakt mit ihm pflegte. Es ist aber, angesichts des hohen Ranges von D._______ sowie der vom Beschwerdeführer für ihn ausgeführten allgemeinen Arbeiten, nicht plausibel, dass nach dem Tode von D._______ der Beschwerdeführer Verfolgungsmassnahmen zu befürchten gehabt hätte. Seine diesbezüglichen Ausführungen an der Anhörung bleiben denn auch unbestimmt und kaum nachvollziehbar (act. A15/20 F104 f., 139). Zudem sind verschiedene Widersprüche auszumachen in Bezug auf sein Vorbringen, er sei nach dem Tod von D._______ erneut bei sich zu Hause gesucht worden. Zur Vermeidung von Wiederholungen ist hierfür auf die zutreffenden Ausführungen des SEM zu verweisen (Verfügung, S. 5 f.).</w:t>
      </w:r>
    </w:p>
    <w:p>
      <w:r>
        <w:rPr>
          <w:b/>
        </w:rPr>
        <w:t>E. 5.7</w:t>
      </w:r>
    </w:p>
    <w:p>
      <w:r>
        <w:t>Soweit in der Beschwerde ausgeführt wird, die Haft im Jahre 2007 und die dabei erlittenen sexuellen Misshandlungen seien immer noch aktuell und würden den Beschwerdeführer belasten, dürfte sinngemäss auf die Rechtspraxis zu den sogenannten «zwingenden Gründen» verwiesen werden. Eine erlittene Vorverfolgung kann auch nach Wegfall einer drohenden Verfolgungsgefahr weiterhin asylrechtlich relevant sein, nämlich dann, wenn eine Rückkehr in den früheren Verfolgerstaat aus zwingenden, auf diese Verfolgung zurückgehenden Gründen nicht zumutbar ist. Bei dieser Auslegung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Urteil des Bundesverwaltungsgerichts [BVGer] E-3842/2006 vom 20. Dezember 2010 E. 5.2.2. unter Hinweis auf BVGE 2007/31 E. 5.4). Von einem solchen Sachverhalt ist vorliegend nicht auszugehen, da sich weder aus dem vorinstanzlichen Verfahren noch aus dem Vorbringen in der Beschwerde Anhaltspunkte dafür ergeben, dass es dem Beschwerdeführer im Sinne einer Langzeittraumatisierung psychologisch verunmöglicht ist, im Heimatland zu leben. Ohnehin müsste ein kausaler Zusammenhang zwischen diesen Ereignissen und der Flucht gegeben sein, was vorliegend nicht der Fall ist.</w:t>
      </w:r>
    </w:p>
    <w:p>
      <w:r>
        <w:rPr>
          <w:b/>
        </w:rPr>
        <w:t>E. 5.8</w:t>
      </w:r>
    </w:p>
    <w:p>
      <w:r>
        <w:t>Insgesamt konnte der Beschwerdeführer keine zum Zeitpunkt der Ausreise bestehende Verfolgungssituation oder eine objektiv begründete Furcht vor einer solchen glaubhaft geltend machen.</w:t>
      </w:r>
    </w:p>
    <w:p>
      <w:r>
        <w:rPr>
          <w:b/>
        </w:rPr>
        <w:t>E. 5.9.1</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und exilpolitische Aktivitäten)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risikobegründende Faktoren dar. Dies bedeutet, dass diese in der Regel, für sich alleine genommen, keine relevante Furcht vor ernsthaften Nachteilen zu begründen vermögen. Jegliche glaubhaft gemachten Risikofaktoren sind in einer Gesamtschau und in ihrer Wechselwirkung sowie unter Berücksichtigung der konkreten Umstände in einer Einzelfallprüfung zu berücksichtigen, mit dem Ziel zu erwägen, ob mit beachtlicher Wahrscheinlichkeit eine flüchtlingsrechtlich relevante Verfolgung bejaht werden muss (a.a.O. E. 8.5.5).</w:t>
      </w:r>
    </w:p>
    <w:p>
      <w:r>
        <w:rPr>
          <w:b/>
        </w:rPr>
        <w:t>E. 5.9.2</w:t>
      </w:r>
    </w:p>
    <w:p>
      <w:r>
        <w:t>Von einer flüchtlingsrechtlich relevanten Verfolgungsgefahr im Falle einer Rückkehr des Beschwerdeführers ist vorliegend nicht auszugehen. Der Beschwerdeführer oder seine nahen Familienangehörigen waren nie Mitglieder der LTTE. Die vorgebrachte Nähe des Beschwerdeführers zu den LTTE, seine Unterstützungstätigkeiten während des Bürgerkrieges und der Fokus der Behörde auf den Beschwerdeführer liegen mittlerweile schon lange zurück. Der Beschwerdeführer konnte nicht glaubhaft machen, dass er seither nochmals von den Behörden in relevanter Weise behelligt wurde. Es ist insgesamt nicht davon auszugehen, dass er ein für die sri-lankischen Behörden relevantes Profil aufweist. Aus der tamilischen Ethnie, der Herkunft aus dem Norden und seiner viereinhalbjährigen Landesabwesenheit in der Schweiz kann er - trotz allenfalls erhöhter Aufmerksamkeit der sri-lankischen Behörden im Rahmen der Wiedereinreise und Wiedereingliederung - keine Gefährdung ableiten, zumal das Gericht davon ausgeht, dass er mehrere Jahre vor seiner Ausreise unbehelligt in Sri Lanka leben konnte und seine Familie weiterhin ohne Probleme im Heimatstaat lebt. Dass er in einer «Stop List» aufgeführt ist, dürfte angesichts seines niederschwelligen Profils wenig wahrscheinlich sein. Zudem ist festzuhalten, dass eine allfällige Befragung am Flughafen in Colombo und Kontrollmassnahmen an seinem Heimatort keine asylrelevanten Verfolgungsmassnahmen darstellen (Urteil des BVGer D-5158/2018 vom 2. September 2019 E. 8.3). Unter Würdigung aller Umstände ist somit anzunehmen, dass der Beschwerdeführer von der sri-lankischen Regierung nicht zu jener Gruppe von Personen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5.10</w:t>
      </w:r>
    </w:p>
    <w:p>
      <w:r>
        <w:t>An der vorangegangenen Einschätzung ändern auch der Regierungswechsel vom 16. November 2019 noch die erfolgte Verhaftung einer sri-lankischen Mitarbeiterin der Schweizerischen Botschaft in Colombo etwas, da diesbezüglich kein individueller Bezug zum Beschwerdeführer ersichtlich ist.</w:t>
      </w:r>
    </w:p>
    <w:p>
      <w:r>
        <w:rPr>
          <w:b/>
        </w:rPr>
        <w:t>E. 5.10.1</w:t>
      </w:r>
    </w:p>
    <w:p>
      <w:r>
        <w:t>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3. März 2021).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3. März 2021).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3. März 2021).</w:t>
      </w:r>
    </w:p>
    <w:p>
      <w:r>
        <w:rPr>
          <w:b/>
        </w:rPr>
        <w:t>E. 5.10.2</w:t>
      </w:r>
    </w:p>
    <w:p>
      <w:r>
        <w:t>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5.10.3</w:t>
      </w:r>
    </w:p>
    <w:p>
      <w:r>
        <w:t>Der Beschwerdeführer war in Sri Lanka keiner asylrelevanten Verfolgung ausgesetzt. Auch unter Berücksichtigung des aktuellen politischen Kontextes in Sri Lanka lässt sich nicht ableiten, er hätte künftig mit einer asylrelevanten Verfolgung zu rechnen.</w:t>
      </w:r>
    </w:p>
    <w:p>
      <w:r>
        <w:rPr>
          <w:b/>
        </w:rPr>
        <w:t>E. 5.11</w:t>
      </w:r>
    </w:p>
    <w:p>
      <w:r>
        <w:t>Insgesamt ergeben sich aus den Akten demnach keine hinreichenden Anhaltspunkte dafür, dass der Beschwerdeführer im heutigen Zeitpunkt begründete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5.9.1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ausgeführt - nicht glaubhaft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7.2.3</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w:t>
      </w:r>
    </w:p>
    <w:p>
      <w:r>
        <w:rPr>
          <w:b/>
        </w:rPr>
        <w:t>E. 7.3.3</w:t>
      </w:r>
    </w:p>
    <w:p>
      <w:r>
        <w:t>Vorliegend sprechen auch keine individuellen Gründe gegen die Zumutbarkeit des Wegweisungsvollzugs. Beim Beschwerdeführer handelt es sich um einen gesunden Mann, der aus der Nordprovinz stammt und zuletzt in B._______ gelebt hat. Er hat im Heimatstaat eine Schulausbildung durchlaufen und war vor seiner Ausreise mehrere Jahre beruflich tätig. Mit seinen Eltern, diversen Tanten und einem Onkel verfügt er über ein familiäres Beziehungsnetz (vgl. act. A15/20 F12 ff.). Sodann führen seine Eltern ein Geschäft mit (...) und (...), das gut läuft (act. A15/20 F18). Es ist somit davon auszugehen, dass sich der den Akten zufolge gesunde Beschwerdeführer in seiner Heimat beruflich wieder integrieren und auf ein tragfähiges Beziehungsnetz zurückgreifen kann, welches ihn nach einer Rückkehr im Bedarfsfall Unterstützung bietet. Vor diesem Hintergrund ist nicht davon auszugehen, dass der Beschwerdeführer bei einer Rückkehr nach Sri Lanka in eine existentielle Notlage geraten wird. Zutreffend hat die Vorinstanz sodann darauf verwiesen, dass trotz der jüngsten politischen Geschehnisse keine gänzlich unsichere, von bewaffneten Konflikten oder anderen unberechenbaren Unruhen dominierte Lage herrscht, aufgrund derer Rückkehrer unabhängig ihres individuellen Hintergrunds konkret gefährdet sind. An dieser Einschätzung vermag auch der Machtwechsel mit der erfolgten Präsidentschaftswahl vom 16. November 2019 und die seither erfolgte Entwicklung nichts zu ändern, ebenso wenig die Spekulationen über mögliche zukünftige politische Entwicklungen.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Nach dem Gesagten erweist sich der Vollzug der Wegweisung ebenfalls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Indessen wurde mit Zwischenverfügung vom 10. Januar 2020 das Gesuch um Gewährung der unentgeltlichen Prozessführung gutgeheissen, weshalb auf die Erhebung von Verfahrenskosten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