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E-6824/2023 vom 10. November 2023</w:t>
      </w:r>
    </w:p>
    <w:p>
      <w:r>
        <w:t>Bundesverwaltungsgericht, 2023-11-10, DE</w:t>
      </w:r>
    </w:p>
    <w:p>
      <w:r>
        <w:rPr>
          <w:b/>
        </w:rPr>
        <w:t xml:space="preserve">Quelle: </w:t>
      </w:r>
      <w:r>
        <w:t>https://mcp.opencaselaw.ch/entscheid/bvger_E-6824_2023_d20231110</w:t>
      </w:r>
    </w:p>
    <w:p>
      <w:r>
        <w:t>FR: TAF E-6824/2023 du 10 novembre 2023</w:t>
      </w:r>
    </w:p>
    <w:p>
      <w:r>
        <w:t>IT: TAF E-6824/2023 del 10 novembre 2023</w:t>
      </w:r>
    </w:p>
    <w:p>
      <w:pPr>
        <w:pStyle w:val="Heading2"/>
      </w:pPr>
      <w:r>
        <w:t>Regeste</w:t>
      </w:r>
    </w:p>
    <w:p>
      <w:r>
        <w:t>Vollzug der Wegweisung (beschleunigtes Verfahren) | Vollzug der Wegweisung (beschleunigtes Verfahren); Verfügung des SEM vom 10.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respektive Art. 10 der Verordnung über Massnahmen im Asylbereich im Zu- sammenhang mit dem Coronavirus [SR 142.318], aufgehoben per 15. De- zember 2023] und Übergangsbestimmung der Aufhebungsverordnung vom 22. November 2023 [AS 2023 694] e contrario; Art. 48 Abs. 1 sowie Art. 52 Abs. 1 VwVG).</w:t>
      </w:r>
    </w:p>
    <w:p>
      <w:r>
        <w:rPr>
          <w:b/>
        </w:rPr>
        <w:t>E. 1.3</w:t>
      </w:r>
    </w:p>
    <w:p>
      <w:r>
        <w:t>Auf die Beschwerden ist einzutreten.</w:t>
      </w:r>
    </w:p>
    <w:p>
      <w:r>
        <w:rPr>
          <w:b/>
        </w:rPr>
        <w:t>E. 2</w:t>
      </w:r>
    </w:p>
    <w:p>
      <w:r>
        <w:t>Die Kognition des Bundesverwaltungsgerichts und die zulässigen Rügen richten sich im Bereich des Ausländerrechts nach Art. 49 VwVG (vgl. BVGE 2014/26 E. 5).</w:t>
      </w:r>
    </w:p>
    <w:p>
      <w:r>
        <w:rPr>
          <w:b/>
        </w:rPr>
        <w:t>E. 3</w:t>
      </w:r>
    </w:p>
    <w:p>
      <w:r>
        <w:t>Die vorliegende Beschwerde erweist sich, wie nachstehend aufgezeigt wird, als offensichtlich begründet. Sie ist im Verfahren einzelrichterlicher Zuständigkeit mit Zustimmung eines zweiten Richters beziehungsweise ei- ner zweiten Richterin (Art. 111 Bst. e AsylG) und – angesichts der vom Bundesverwaltungsgericht zu beachtenden Behandlungsfrist (Art. 109 Abs. 1 AsylG) – ohne Durchführung eines Schriftenwechsels sowie mit summarischer Begründung zu behandeln (Art. 111a Abs. 1 und 2 AsylG).</w:t>
      </w:r>
    </w:p>
    <w:p>
      <w:r>
        <w:t>E-6824/2023 Seite 5</w:t>
      </w:r>
    </w:p>
    <w:p>
      <w:r>
        <w:rPr>
          <w:b/>
        </w:rPr>
        <w:t>E. 4</w:t>
      </w:r>
    </w:p>
    <w:p>
      <w:r>
        <w:t>Gegenstand des Verfahrens ist der Vollzug der Wegweisung respektive die Frage, ob die Verfügung des SEM vom 10. November 2023 in diesem Punkt zu kassieren sei. Die Dispositivziffern 1 und 2 (Verneinung der Flüchtlingseigenschaft und Ablehnung des Asylgesuchs) der Verfügung sind mangels Anfechtung in Rechtskraft erwachsen. Soweit der Beschwer- deführer in seinem Rechtsmittel im Übrigen ohne nähere Begründung auch die Aufhebung der Dispositivziffer 3 (Anordnung der Wegweisung) bean- tragt hat, kann dazu vorab Folgendes festgehalten werden: Lehnt das SEM ein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zu Recht angeordnet (vgl. BVGE 2013/37 E. 4.4; 2009/50 E. 9, je m.w.H.). Die beantragte Anordnung der vorläufigen Aufnahme infolge Unzumutbar- keit des Wegweisungsvollzugs kann ohnehin nur bei einer rechtskräftig verfügten Wegweisung zum Tragen kommen, zumal es sich bei der vorläu- figen Aufnahme um eine Ersatzmassnahme für eine verfügte aber nicht vollziehbare Wegweisung handelt. Die beantragte Aufhebung der Disposi- tivziffer 3 der angefochtenen Verfügung erweist sich vorliegend ohne gleichzeitige Anfechtung im Asylpunkt als unbehelflich.</w:t>
      </w:r>
    </w:p>
    <w:p>
      <w:r>
        <w:rPr>
          <w:b/>
        </w:rPr>
        <w:t>E. 5</w:t>
      </w:r>
    </w:p>
    <w:p>
      <w:r>
        <w:t>Zu der vom Beschwerdeführer gerügten unvollständigen Sachverhaltsfest- stellung hinsichtlich der Zumutbarkeit des Wegweisungsvollzugs von ihm als Minderjährigem ist mit Verweis auf die Akten und den einschlägigen Publikationsentscheid BVGE 2021 VI/3 E. 5 Folgendes festzustellen:</w:t>
      </w:r>
    </w:p>
    <w:p>
      <w:r>
        <w:rPr>
          <w:b/>
        </w:rPr>
        <w:t>E. 5.1.1</w:t>
      </w:r>
    </w:p>
    <w:p>
      <w:r>
        <w:t>Gemäss Art. 12 VwVG stellt die zuständige Behörde den Sachverhalt von Amtes wegen fest. Nach ständiger Rechtsprechung des Bundes- verwaltungsgerichts verpflichten Art. 3 und 22 des Übereinkommens über die Rechte der Kinder (Kinderrechtskonvention, KRK; SR 0.107) die asyl- rechtlichen Behörden, das Kindeswohl im Rahmen der Zumutbarkeitsprü- fung als gewichtigen Aspekt zu berücksichtigen. Das SEM ist bezüglich un- begleiteter minderjähriger Asylsuchender verpflichtet abzuklären, ob Min- derjährige zu ihren Eltern oder anderen Angehörigen zurückgeführt werden können und ob diese in der Lage sind, ihre Bedürfnisse abzudecken. Kön- nen die Angehörigen nicht ausfindig gemacht werden oder ergibt sich, dass</w:t>
      </w:r>
    </w:p>
    <w:p>
      <w:r>
        <w:t>E-6824/2023 Seite 6 die Rückkehr zu diesen dem Kindeswohl nicht entspricht, ist weiter abzu- klären, ob das Kind in der Heimat allenfalls in einer geeigneten Anstalt oder bei einer Drittperson untergebracht werden kann. Diesbezüglich sind kon- krete Abklärungen vorzunehmen; blosse allgemeine Feststellungen, im Heimat- oder Herkunftsland würden Eltern oder andere Angehörige leben beziehungsweise es gebe in dem betreffenden Land entsprechende Ein- richtungen, genügen nicht. Auch gemäss Art. 69 Abs. 4 AIG hat das SEM vor der Ausschaffung einer unbegleiteten minderjährigen Person sicher- zustellen, dass diese im Rückkehrstaat einem Familienmitglied, einem Vor- mund oder einer Aufnahmeeinrichtung übergeben werden kann, welche den Schutz des Kindes gewährleistet. Die dafür notwendigen konkreten Abklärungen inklusive der allfälligen Übernahmezusicherungen einer ge- eigneten Institution sind vor Erlass einer wegweisenden Verfügung des SEM vorzunehmen respektive einzuholen, damit sie einer gerichtlichen Überprüfung offenstehen.</w:t>
      </w:r>
    </w:p>
    <w:p>
      <w:r>
        <w:rPr>
          <w:b/>
        </w:rPr>
        <w:t>E. 5.1.2</w:t>
      </w:r>
    </w:p>
    <w:p>
      <w:r>
        <w:t>Das SEM ist jedoch nur in dem Ausmass zur Untersuchung des Sach- verhaltes verpflichtet, wie man dies vernünftigerweise von ihm erwarten kann. Der Untersuchungsgrundsatz wird durch die gesetzlich vorgesehe- nen Mitwirkungspflichten eingeschränkt (Art. 13 VwVG und Art. 8 AsylG). Die Mitwirkungspflicht von Gesuchstellenden betrifft insbesondere Tat- sachen, die ihre persönliche Situation betreffen und die sie besser kennen als die Behörden, oder die ohne ihre Mitwirkung gar nicht oder nicht mit vernünftigem Aufwand erhoben werden können. Die Mitwirkungspflicht trifft grundsätzlich auch unbegleitete minderjährige Asylsuchende, soweit diese dazu aufgrund ihres Alters, ihrer Reife und ihrer Ausbildung in der Lage sind. Bei der Beurteilung von Mitwirkungspflichtverletzungen sind die Um- stände des Einzelfalles zu beachten.</w:t>
      </w:r>
    </w:p>
    <w:p>
      <w:r>
        <w:rPr>
          <w:b/>
        </w:rPr>
        <w:t>E. 5.1.3</w:t>
      </w:r>
    </w:p>
    <w:p>
      <w:r>
        <w:t>Die Verpflichtung, sicherzustellen, dass unbegleitete minderjährige Asylsuchende nach ihrer Rückkehr unter die Obhut ihrer Eltern, anderer Familienmitglieder oder einer geeigneten Institution gestellt werden kön- nen, resultiert aus der KRK. Damit vom Vorliegen einer Betreuung ausge- gangen werden kann, muss die Vorinstanz sich auf festgestellte Tatsachen stützen, welche aus den Akten ersichtlich sind, andernfalls müssen geeig- nete Abklärungen getroffen werden. Bei diesen Abklärungen handelt es sich um notwendige Informationen zur Beurteilung der Zumutbarkeit des Wegweisungsvollzugs. Die Abklärungspflicht des SEM wird einzig durch die Minderjährigkeit der betreffenden Person begründet. Steht diese fest, kann auch eine Verletzung der Mitwirkungspflicht das SEM grundsätzlich nicht davon entbinden abzuklären, ob die unbegleitete minderjährige</w:t>
      </w:r>
    </w:p>
    <w:p>
      <w:r>
        <w:t>E-6824/2023 Seite 7 Person bei einer Rückkehr eine geeignete Unterkunft erhält – sei dies bei Familienangehörigen oder, wenn diesbezüglich keine Informationen vorlie- gen oder dies nicht möglich ist, in einer geeigneten Institution. Nur in Aus- nahmefällen, in welchen das Ausmass der Verletzung der Mitwirkungs- pflicht eine Abklärung durch das SEM mangels jeglicher Anhaltspunkte vollkommen verunmöglicht, kann diese Abklärungspflicht erlöschen. Dies wäre beispielsweise der Fall, wenn sich die Person in Bezug auf ihre Nati- onalität und Herkunft derart widerspricht, dass weder Abklärungen betref- fend die familiäre Situation möglich sind, noch eine geeignete Institution gesucht werden kann. Die Pflicht des SEM, den Sachverhalt von Amtes wegen festzustellen, wird ebenfalls einzig durch die Minderjährigkeit und dem damit einhergehenden Anspruch auf staatlichen Schutz begründet, welcher sich sowohl aus der KRK als auch aus der Bundesverfassung ergibt (vgl. Art. 11 BV). Dabei ist zu präzisieren, dass aus diesen Bestim- mungen, die zum Teil eher programmatischer Natur sind, zwar eine Abklä- rungspflicht von Amtes wegen, aber regelmässig kein unmittelbarer An- spruch auf Feststellung der Unzumutbarkeit beziehungsweise Erteilung ei- ner ausländerrechtlichen Bewilligung abgeleitet werden kann. Eine Verlet- zung der Mitwirkungspflicht wird regelmässig – nach erfolgten Abklärungen – bei der Beurteilung der Zumutbarkeit zum Tragen kommen (vgl. BVGE 2021 VI/3 E. 11.5.2).</w:t>
      </w:r>
    </w:p>
    <w:p>
      <w:r>
        <w:rPr>
          <w:b/>
        </w:rPr>
        <w:t>E. 5.2.1</w:t>
      </w:r>
    </w:p>
    <w:p>
      <w:r>
        <w:t>Die Vorinstanz hat in ihrer Verfügung vom 10. November 2023 die Minderjährigkeit des Beschwerdeführers ausdrücklich anerkannt (vgl. ins- besondere Verfügung S. 9). Die Tatsache, dass es sich beim Beschwerde- führer um einen unbegleiteten minderjährigen Asylsuchenden handelt (Art. 1a Bst. d AsylV 1), hat zur Folge, dass erhöhte Anforderungen an die Zumutbarkeit des Wegweisungsvollzugs zu stellen und diese von Amtes wegen zu prüfen sind (vgl. BVGE 2015/30 E. 7.2, 2009/51 E. 5.6; Entschei- dungen und Mitteilungen der Schweizerischen Asylrekurskommission [EMARK] 1998 Nr. 13 E. 5e).</w:t>
      </w:r>
    </w:p>
    <w:p>
      <w:r>
        <w:rPr>
          <w:b/>
        </w:rPr>
        <w:t>E. 5.2.2</w:t>
      </w:r>
    </w:p>
    <w:p>
      <w:r>
        <w:t>Das SEM führt in der angefochtenen Verfügung allerdings im We- sentlichen aus, der Beschwerdeführer habe durch seine unsubstanziierten, vagen und letztlich unglaubhaften Aussagen zu seinen familiären Verhält- nissen detaillierte Abklärungen zu allfälligen Unterkunfts- und Obhuts- möglichkeiten nach seiner Rückkehr verunmöglicht. Der Wegweisungs- vollzug erweise sich als zumutbar, zumal davon auszugehen sei, dass er in Sierra Leone über ein Beziehungsnetz verfüge. Ausserdem habe er wäh- rend sechs Jahren die Schule besucht und auf dem Weg in die Schweiz in verschiedenen Ländern Arbeitserfahrungen gesammelt.</w:t>
      </w:r>
    </w:p>
    <w:p>
      <w:r>
        <w:t>E-6824/2023 Seite 8</w:t>
      </w:r>
    </w:p>
    <w:p>
      <w:r>
        <w:rPr>
          <w:b/>
        </w:rPr>
        <w:t>E. 5.2.3</w:t>
      </w:r>
    </w:p>
    <w:p>
      <w:r>
        <w:t>Es ist nicht von der Hand zu weisen, dass die Ausführungen des Be- schwerdeführers zu seiner Biografie und seinen familiären Verhältnissen weitgehend unsubstanziiert und teilweise widersprüchlich ausgefallen sind. So hat er beispielsweise seinen jüngeren Bruder anlässlich der EB UMA mit keinem Wort erwähnt und auch den Umzug nach D._______ zeitlich anders verortet. Sodann fällt auf, dass der Beschwerdeführer behauptet, durch eine unglückliche Verkettung von Zufällen nahezu seine ganze Kern- familie verloren und darüber hinaus keine weiteren (kontaktierbaren) Fami- lienangehörigen mehr zu haben. Dies mag in der Tat unplausibel wirken. Fest steht allerdings, dass dem minderjährigen Beschwerdeführer trotz seiner knappen Angaben nicht vorgeworfen werden kann, er habe die Asylbehörden über seine Identität zu täuschen versucht. Es gibt keinerlei Anhaltspunkte, die darauf schliessen lassen, dass der Beschwerdeführer nicht aus Sierra Leone stammen und seine Identitätsangaben (Name, Ge- burtsdatum, Namen der Eltern) nicht zutreffen würden. Angesichts seiner Minderjährigkeit kann vorliegend also nicht von einer Mitwirkungspflichtver- letzung in einem Ausmass ausgegangen werden, das jegliche Abklärungen zu einer kindgerechten Unterbringungsmöglichkeit in Sierra Leone verun- möglichen würde. Die Feststellung der Vorinstanz, dass der Beschwerde- führer in rund (…) Monaten volljährig werde, ist dabei unerheblich. Das SEM hat nähere Abklärungen im Sinn der KRK demnach – mit Verweis auf eine angebliche Mitwirkungspflichtverletzung – zu Unrecht unterlassen.</w:t>
      </w:r>
    </w:p>
    <w:p>
      <w:r>
        <w:rPr>
          <w:b/>
        </w:rPr>
        <w:t>E. 5.3</w:t>
      </w:r>
    </w:p>
    <w:p>
      <w:r>
        <w:t>Das SEM ist seinen Verpflichtungen im Zusammenhang mit der Beur- teilung des Wegweisungsvollzugs von unbegleiteten Minderjährigen nicht nachgekommen. Es hat nicht abgeklärt, in wessen Obhut der Beschwer- deführer beim angeordneten Wegweisungsvollzug nach Sierra Leone übergeben werden kann und wie diese Empfangnahme im Heimatland konkret vonstattengehen soll. Somit lässt sich zum aktuellen Zeitpunkt nicht abschliessend beurteilen, ob der Wegweisungsvollzug zumutbar ist. Im vorliegenden Verfahren sind weitere Abklärungen notwendig. In diesem Zusammenhang wird es auch Sache der Vorinstanz sein, den aktuellen Gesundheitszustand des Beschwerdeführers zu berücksichtigen und ge- gebenenfalls entsprechende Abklärungen vorzunehmen (vgl. insbeson- dere Beschwerdebeilage 4 [ärztlicher Kurzbericht vom 18. August 2023, der sich nicht bei den vorinstanzlichen Akten befindet]).</w:t>
      </w:r>
    </w:p>
    <w:p>
      <w:r>
        <w:rPr>
          <w:b/>
        </w:rPr>
        <w:t>E. 5.4</w:t>
      </w:r>
    </w:p>
    <w:p>
      <w:r>
        <w:t>Zusammenfassend ist festzustellen, dass die Vorinstanz Bundesrecht verletzt und auf einer unvollständigen Sachverhaltsgrundlage entschieden hat (Art. 106 Abs. 1 AsylG). Eine Heilung derartiger Mängel des erstin- stanzlichen Verfahrens im Rahmen des Beschwerdeverfahrens steht nicht zur Debatte.</w:t>
      </w:r>
    </w:p>
    <w:p>
      <w:r>
        <w:t>E-6824/2023 Seite 9</w:t>
      </w:r>
    </w:p>
    <w:p>
      <w:r>
        <w:rPr>
          <w:b/>
        </w:rPr>
        <w:t>E. 6</w:t>
      </w:r>
    </w:p>
    <w:p>
      <w:r>
        <w:t>Die Beschwerde ist gutzuheissen, soweit die Aufhebung der angefochte- nen Verfügung (im Wegweisungsvollzugspunkt) beantragt worden ist. Die Akten sind der Vorinstanz zur korrekten Weiterführung des Verfahrens zu überweisen.</w:t>
      </w:r>
    </w:p>
    <w:p>
      <w:r>
        <w:rPr>
          <w:b/>
        </w:rPr>
        <w:t>E. 7</w:t>
      </w:r>
    </w:p>
    <w:p>
      <w:r>
        <w:t>Bei diesem Verfahrensausgang sind keine Kosten zu erheben (Art. 63 Abs. 1 und 2 VwVG). Die Gesuche um Gewährung der unentgeltlichen Prozessführung und um Befreiung von der Kostenvorschusspflicht werden mit dem vorliegenden Entscheid gegenstandslos.</w:t>
      </w:r>
    </w:p>
    <w:p>
      <w:r>
        <w:rPr>
          <w:b/>
        </w:rPr>
        <w:t>E. 8</w:t>
      </w:r>
    </w:p>
    <w:p>
      <w:r>
        <w:t>Dem Beschwerdeführer ist keine Parteientschädigung zuzusprechen, weil es sich bei seinem Rechtsvertreter um eine zugewiesene unentgeltliche Rechtsvertretung im Sinn von Art. 102h AsylG handelt, deren Leistungen vom Bund nach Massgabe von Art. 102k AsylG entschädigt werden (vgl. auch Art. 102k Abs. 1 Bst. d und Art. 111ater AsylG).</w:t>
      </w:r>
    </w:p>
    <w:p>
      <w:r>
        <w:t>(Dispositiv nächste Seite)</w:t>
      </w:r>
    </w:p>
    <w:p>
      <w:r>
        <w:t>E-6824/2023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