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E-6823/2025 vom 1. September 2025</w:t>
      </w:r>
    </w:p>
    <w:p>
      <w:r>
        <w:t>Bundesverwaltungsgericht, 2025-09-01, DE</w:t>
      </w:r>
    </w:p>
    <w:p>
      <w:r>
        <w:rPr>
          <w:b/>
        </w:rPr>
        <w:t xml:space="preserve">Quelle: </w:t>
      </w:r>
      <w:r>
        <w:t>https://mcp.opencaselaw.ch/entscheid/bvger_E-6823_2025_d20250901</w:t>
      </w:r>
    </w:p>
    <w:p>
      <w:r>
        <w:t>FR: TAF E-6823/2025 du 1 septembre 2025</w:t>
      </w:r>
    </w:p>
    <w:p>
      <w:r>
        <w:t>IT: TAF E-6823/2025 del 1 settembre 2025</w:t>
      </w:r>
    </w:p>
    <w:p>
      <w:pPr>
        <w:pStyle w:val="Heading2"/>
      </w:pPr>
      <w:r>
        <w:t>Regeste</w:t>
      </w:r>
    </w:p>
    <w:p>
      <w:r>
        <w:t>Asyl und Wegweisung (beschleunigtes Verfahren) | Asyl und Wegweisung (beschleunigtes Verfahren); Verfügung des SEM vom 1. September 2025</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die Beschwerdeführenden sind zur Beschwerdeerhebung legitimiert (Art. 105 und Art. 108 Abs. 3 AsylG; Art. 48 Abs. 1 sowie Art. 52 Abs. 1 VwVG). Auf die Beschwerde ist einzutreten.</w:t>
      </w:r>
    </w:p>
    <w:p>
      <w:r>
        <w:rPr>
          <w:b/>
        </w:rPr>
        <w:t>E. 2</w:t>
      </w:r>
    </w:p>
    <w:p>
      <w:r>
        <w:t>Über offensichtlich unbegründete Beschwerden wird in einzelrichterlicher</w:t>
      </w:r>
    </w:p>
    <w:p>
      <w:r>
        <w:t>E-6823/2025 Seite 5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Vorab ist zu prüfen, ob die von den Beschwerdeführenden erhobenen verfahrensrechtliche Rügen geeignet sind, eine Kassation der angefochte- nen Verfügung herbeizuführen.</w:t>
      </w:r>
    </w:p>
    <w:p>
      <w:r>
        <w:rPr>
          <w:b/>
        </w:rPr>
        <w:t>E. 3.2</w:t>
      </w:r>
    </w:p>
    <w:p>
      <w:r>
        <w:t>Die Beschwerdeführenden monieren zum einen, dass das SEM ihre Asylgründe nicht rechtsgenüglich geprüft und damit den Untersuchungs- grundsatz (vgl. Art. 6 AsylG i.V.m. Art. 12 VwVG) verletzt habe. Zum andern rügen sie eine Verletzung ihres Anspruches auf rechtliches Gehör (vgl. Art. 29 f. VwVG und Art. 29 Abs. 2 BV) respektive eine Verletzung der Begrün- dungspflicht durch das SEM (Art. 35 VwVG und Art. 29 Abs. 2 BV). Begrün- dend bringen sie vor, dass das SEM zur Stützung seiner Annahme, wonach in Kolumbien keine nichtstaatliche Gruppierung mit nationaler Struktur und landesweiter Präsenz bestehe, nur pauschal auf die Rechtspraxis des Bun- desverwaltungsgerichts beziehungsweise nur auf Urteile des Gerichts ver- wiesen habe, die sich mit dem Einflussgebiet anderer Organisationen (und zwar dem der ELN und der AUC), nicht aber mit jenem der AGC auseinan- dersetzten. Ausserdem sei das neueste der zitierten Urteile bereits vor ei- nem Jahr ergangen. Auch habe das SEM keine konkrete sichere Fluchtal- ternative genannt, sondern lediglich pauschal auf angeblich sichere Regi- onen verwiesen. Mit diesem Vorgehen entziehe das SEM den Beschwer- deführenden die Möglichkeit, sich sachgerecht zu ihrer Argumentation zu äussern und verletze dadurch die Begründungspflicht.</w:t>
      </w:r>
    </w:p>
    <w:p>
      <w:r>
        <w:rPr>
          <w:b/>
        </w:rPr>
        <w:t>E. 3.3</w:t>
      </w:r>
    </w:p>
    <w:p>
      <w:r>
        <w:t>Vorab ist festzustellen, dass sich aus den Akten keine Hinweise erge- ben, wonach das SEM seine Pflicht zur richtigen und vollständigen Abklä- rung des rechtserheblichen Sachverhalts nicht ausreichend wahrgenom- men hätte. Es trifft zu, dass sich zwei der in der angefochtenen Verfügung zitierten Urteile des Bundesverwaltungsgerichts auf die ELN und zwei auf die AUC beziehen. Gemäss öffentlich zugänglichen Quellen handelt es sich bei der AGC um eine der Nachfolgeorganisationen der AUC (vgl. statt vieler: «Länderkurzinformation Kolumbien (Sicherheitslage)» des Informa- tionszentrums Asyl und Migration, deutsches Bundesamt für Flüchtlinge</w:t>
      </w:r>
    </w:p>
    <w:p>
      <w:r>
        <w:t>E-6823/2025 Seite 6 und Migration, Stand 11/2024, Ziff. 2.1.1). Auch das Bundesverwaltungs- gericht hat in seinen Urteilen schon darauf hingewiesen (vgl. bspw. Urteil des BVGer D-2760 vom 16. März 2023 E. 5.3, bestätigt im Urteil des BVGer D-1125/2024 vom 29. Februar 2024 E. 6.1). Mutmasslich hat das SEM die- ses Wissen bei den Beschwerdeführenden vorausgesetzt, welche eine Verfolgung durch Mitglieder der AGC geltend gemacht haben, was es auch durfte. Folglich ist nichts dagegen einzuwenden, dass es auf eine explizite Erwähnung verzichtet hat, wenn auch eine ausdrücklichen Erwähnung der Klarheit gedient hätte. Des Weiteren geht aus der angefochtenen Verfü- gung hervor, dass die Einflusssphäre der AGC insbesondere im Norden Kolumbiens sowie in der Nähe der Küste und der Grenze liege (ebd. S. 6). Damit war hinreichend klar, von welchen inländischen Gebieten das SEM hinsichtlich einer Ausweismöglichkeit ausgeht, zumal auch diesbezüglich von den Beschwerdeführenden erwartet werden darf, dass sie sich in der Geografie ihres Heimatstaates auskennen. Schliesslich ist eine Behörde grundsätzlich gehalten, die wesentlichen Überlegungen zu nennen, von denen sie sich leiten liess und auf die sie ihren Entscheid stützt. Es genügt somit, wenn aus der Gesamtheit der Begründung implizit hervorgeht, wes- halb das Vorgebrachte als unrichtig oder unwesentlich übergangen wird (vgl. BGE 137 II 266 E. 3.2 m.H.; BVGE 2012/24 E. 3.2). Ingesamt ist das SEM seiner Begründungspflicht hinreichend nachgekommen, was sich nicht zuletzt darin spiegelt, dass es den Beschwerdeführenden möglich war, die Verfügung sachgerecht anfechten.</w:t>
      </w:r>
    </w:p>
    <w:p>
      <w:r>
        <w:rPr>
          <w:b/>
        </w:rPr>
        <w:t>E. 3.4</w:t>
      </w:r>
    </w:p>
    <w:p>
      <w:r>
        <w:t>Dementsprechend erweisen sich die formellen Rügen als unbegründet. Eine Rückweisung des Verfahrens kommt demzufolge nicht in Betracht. Der entsprechende Subeventualantrag ist abzuweisen.</w:t>
      </w:r>
    </w:p>
    <w:p>
      <w:r>
        <w:rPr>
          <w:b/>
        </w:rPr>
        <w:t>E. 4</w:t>
      </w:r>
    </w:p>
    <w:p>
      <w:r>
        <w:t>Die Kognition des Bundesverwaltungsgerichts und die zulässigen Rügen richten sich im Asylbereich nach Art. 106 Abs. 1 AsylG, im Bereich des Aus- länderrechts nach Art. 49 VwVG (vgl. BVGE 2014/26 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E-6823/2025 Seite 7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Aufgrund der Subsidiarität des flüchtlingsrechtlichen Schutzes setzt die Anerkennung der Flüchtlingseigenschaft voraus, dass die betroffene Per- son in ihrem Heimatland keinen ausreichenden Schutz vor nichtstaatlicher Verfolgung finden kann. Der Schutz gilt als ausreichend,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des Schutzgewährenden für langfristigen individuellen Schutz der von nichtstaatlicher Verfolgung bedrohten Person zu verlangen: Keinem Staat gelingt es, die absolute Sicherheit aller seiner Bürger jeder- zeit und überall zu garantieren (vgl. BVGE 2008/4 E. 5.2).</w:t>
      </w:r>
    </w:p>
    <w:p>
      <w:r>
        <w:rPr>
          <w:b/>
        </w:rPr>
        <w:t>E. 6.1</w:t>
      </w:r>
    </w:p>
    <w:p>
      <w:r>
        <w:t>Das SEM hält bezüglich der geltend gemachten Drohungen fest, es sei grundsätzlich Aufgabe der zuständigen kolumbianischen Behörden, die Beschwerdeführenden vor Übergriffen Dritter zu schützen. Diese seien auch schutzwillig und -fähig im massgeblichen Sinne. Die Entgegennahme der Anzeige der Beschwerdeführerin bestätige, dass sie Zugang zu den Behörden gehabt habe. Da die Familie nach dem Erstatten der Anzeige innert weniger Tage ausgereist sei, hätten die kolumbianischen Behörden nur sehr wenig Zeit gehabt, allfällige weitere Massnahmen zu ihrem Schutz zu ergreifen. Die Beschwerdeführerin habe es ausserdem bewusst unter- lassen, bei der dem Innenministerium angegliederten UNP ein Schutzer- suchen einzureichen. Ihre diesbezügliche Erklärung, sie wolle wegen ihrer Berufstätigkeit nicht von ehemaligen FARC-Mitgliedern im Namen der UNP beschützt werden überzeuge nicht, zumal die geltend gemachte Gefähr- dung, von den erklärten Gegnern der FARC, der rechten AGC, ausgehe. Auch könne von den Beschwerdeführenden verlangt werden, die</w:t>
      </w:r>
    </w:p>
    <w:p>
      <w:r>
        <w:t>E-6823/2025 Seite 8 Schutzmöglichkeiten in ihrem Heimatland auszuschöpfen, bevor sie den Schutz eines Drittstaates in Anspruch nehmen würden. Sollten die Behör- den untätig bleiben, hätten sie die Möglichkeit, sich an die nächsthöhere Instanz zu wenden, wobei sich ihre persönlichen Beziehungen zu ihren Gunsten auswirken dürften. Überdies gelinge es keinem Staat, die abso- lute Sicherheit aller seiner Bürger jederzeit und überall zu garantieren. Schliesslich, so das SEM, verfüge keine der nichtstaatlichen Gruppierun- gen in Kolumbien über eine nationale Struktur mit landesweiter Präsenz und Kontrolle; die Einflusssphäre der AGC befinde sich insbesondere im Norden sowie in Küsten- und Grenznähe. Deshalb sei davon auszugehen sei, dass sich die Beschwerdeführenden, zumindest temporär, bis andere Schutzmassnahmen griffen, in einen anderen Landesteil begeben könn- ten. Auch diese Massnahme hätten sie nicht ergriffen.</w:t>
      </w:r>
    </w:p>
    <w:p>
      <w:r>
        <w:rPr>
          <w:b/>
        </w:rPr>
        <w:t>E. 6.2</w:t>
      </w:r>
    </w:p>
    <w:p>
      <w:r>
        <w:t>In der Beschwerde wird, nebst der Wiederholung ihrer Sachverhalts- darstellung, erneut vorgebracht, dass die Beschwerdeführerin aufgrund ih- rer Zugehörigkeit zur «sozialen Gruppe» der ARN-Mitarbeiter verfolgt und ihre Familie mit dem Tod bedroht werde, die kolumbianischen Behörden jedoch der Familie die Schutzgewährung mangels Ressourcen verwehren würden. Sodann wird vorgebracht, dass die Beschwerdeführerin bis heute keine Rückmeldung der Staatsanwaltschaft auf ihre Anzeige erhalten habe und die Familie der Bedrohung innerstaatlich nicht ausweichen könne. Hervorgehoben wird ferner, dass in ihrem Fall das sofortige Ergreifen von Schutzmassnahmen angezeigt gewesen wäre, um der Bedrohungslage gerecht zu werden. Den Beschwerdeführenden könne nicht zugemutet werden, in Kolumbien weiterhin darauf zu warten, oder die erforderlichen Schutzmassnahmen auf dem Rechtsweg zu erstreiten. Auch erscheine es realitätsfremd anzunehmen, dass die Täter die Beschreitung des Rechts- weges abwarten würden. Entgegen der Annahme des SEM könnten auch von der UNP keine effektiven Schutzmassnahmen erwartet werden.</w:t>
      </w:r>
    </w:p>
    <w:p>
      <w:r>
        <w:rPr>
          <w:b/>
        </w:rPr>
        <w:t>E. 7.1</w:t>
      </w:r>
    </w:p>
    <w:p>
      <w:r>
        <w:t>Das Bundesverwaltungsgericht hat sich in den letzten Jahren wieder- holt mit der Schutzfähigkeit und dem Schutzwillen der kolumbischen Be- hörden auseinandergesetzt. Dabei geht es in seiner Rechtsprechung grundsätzlich von der Schutzfähigkeit und Schutzwilligkeit der kolumbiani- schen Strafverfolgungs- und Justizbehörden aus (vgl. etwa Urteil des BVGer D-3463/2025 E. 7.6 m.w.H.). Das SEM hat denn auch zutreffend erwogen, weshalb dies auch im Falle der Beschwerdeführenden gelte und die als subsidär zu verstehende Schutzgewährung seitens der Schweiz</w:t>
      </w:r>
    </w:p>
    <w:p>
      <w:r>
        <w:t>E-6823/2025 Seite 9 nicht angezeigt sei. Darauf kann mit den folgenden Ergänzungen verwie- sen werden.</w:t>
      </w:r>
    </w:p>
    <w:p>
      <w:r>
        <w:rPr>
          <w:b/>
        </w:rPr>
        <w:t>E. 7.2</w:t>
      </w:r>
    </w:p>
    <w:p>
      <w:r>
        <w:t>Das SEM verweist in der angefochtenen Verfügung bereits darauf und es ist tatsächlich auffallend, dass die Beschwerdeführerin am (…) Juli 2025 die Anzeige bei der Staatsanwaltschaft erstattet hat und die Familie bereits (…) Tage später, am (…) Juli 2025, aus Kolumbien ausgereist ist. Dass sich die kolumbianischen Behörden innerhalb von nur (…) Tagen noch nicht haben vernehmen lassen, ist offenkundig nicht mit einer Verweige- rung der Schutzgewährung gleichzusetzen. Kommt hinzu, dass auch da- von ausgegangen werden darf, die Reisevorbereitungen hätten einen ge- wissen Zeitraum in Anspruch genommen was die Dauer nochmals verkür- zen würde. Zwar wird in der Beschwerde erneut geltend gemacht, mangels entsprechender Ressourcen würden ihnen die kolumbianischen Behörden die Schutzgewährung verwehren und sie hätten auch hier in der Schweiz noch keine Nachricht von der Behörden erhalten, obwohl sie die E-Mail- Adresse der Beschwerdeführerin hinterlegt hätten. Allerdings bringen sie nicht vor, sich inzwischen erkundigt zu haben und sie bringen keine etwai- gen Belege dafür vor. Es versteht sich aber von selbst, dass dies von ihnen erwartet werden dürfte. Das Gericht teilt sodann auch die Einschätzung des SEM, dass allein aufgrund des Umstands, dass die Bearbeitung län- gere Zeit in Anspruch nimmt, nicht bereits von einer Schutzverweigerung auszugehen ist. Daran ändert der pauschale Einwand, dem kolumbiani- schen Staat fehle es an Ressourcen nichts. Sollten die Behörden tatsäch- lich länger untätig bleiben, würde es in der Verantwortung der Beschwer- deführenden liegen, von sämtlichen zur Verfügung stehenden Optionen Gebrauch zu machen und wenn nötig den ihr zustehenden Schutz auf dem Rechtsweg beziehungsweise über eine höhere Instanz zu erstreiten. Zu Recht verweist das SEM darauf, dass unter anderem der Bruder der Be- schwerdeführerin, der als Rechtsanwalt tätig sei, sie unterstützen könnte. Schliesslich bewirken auch die pauschalen Einwände bezüglich der als in- effektiv erachteten Schutzmassnahmen seitens der UNP nichts zu Guns- ten der Beschwerdeführenden, zumal sie diese nicht davon entbinden, alle zu ihrem Schutz zur Verfügung stehenden Massnahmen in ihrem Heimat- staat zu ergreifen. Dazu gehört, wie das SEM ebenfalls zu Recht ausführt, auch der zumindest temporäre innerstaatliche Aufenthalt an einem ande- ren Ort, wobei namentlich an die Hauptstadt des Landes zu denken ist. Ein Aufenthalt dort für die gebildeten Beschwerdeführenden mit ihrem Kind ist ihnen offensichtlich zuzumuten.</w:t>
      </w:r>
    </w:p>
    <w:p>
      <w:r>
        <w:t>E-6823/2025 Seite 10 Die Behauptung der Beschwerdeführenden, wonach es sich bei der AGC um eine Gruppierung handle, die über eine nationale Struktur mit landes- weiter Präsenz und Kontrolle verfüge, findet sodann auch in der bundes- verwaltungsgerichtlichen Praxis keine Stütze. Trotz der teilweise besorg- niserregenden Entwicklung verschiedener krimineller Organisationen in Kolumbien geht das Gericht mit dem SEM davon aus, dass nach wie vor keine Post-AUC-Gruppierung mit einer nationalen Struktur existiert, die über eine landesweite Präsenz und Kontrolle verfügt (vgl. das bereits er- wähnte Urteil des BVGer D-1125/2024 E. 6.1 m.w. H.).</w:t>
      </w:r>
    </w:p>
    <w:p>
      <w:r>
        <w:rPr>
          <w:b/>
        </w:rPr>
        <w:t>E. 7.3</w:t>
      </w:r>
    </w:p>
    <w:p>
      <w:r>
        <w:t>Zusammenfassend ist nicht davon auszugehen, dass die Beschwerde- führenden bei der heutigen Rückkehr in ihren Heimatstaat mit der notwen- digen hohen Wahrscheinlichkeit in absehbarer Zukunft ernsthafte Nach- teile im Sinne von Art. 3 AsylG zu befürchten hätten. Sie erfüllen die Flücht- lingseigenschaft nicht und das SEM hat ihre Asylgesuche zu Recht abge- 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E-6823/2025 Seite 11 Heimat-, Herkunfts- oder einen Drittstaat entgegenstehen (Art. 83 Abs. 3 AIG). Nachdem die Beschwerdeführenden die Flüchtlingseigenschaft nicht erfül- len, findet der in Art. 5 AsylG, Art. 25 Abs. 2 BV und Art. 33 Abs. 1 des Ab- kommens vom 28. Juli 1951 über die Rechtsstellung der Flüchtlinge [FK, SR 0.142.30]) verankerte Grundsatz der flüchtlingsrechtlichen Nichtrück- schiebung keine Anwendung. Sodann ergeben sich weder aus den Aussa- gen der Beschwerdeführenden noch aus den Akten Anhaltspunkte dafür, dass sie für den Fall einer Ausschaffung in den Heimatstaat dort mit be- achtlicher Wahrscheinlichkeit einer nach Art. 3 EMRK oder Art. 1 des Über- einkommens vom 10. Dezember 1984 gegen Folter und andere grausame, unmenschliche oder erniedrigende Behandlung oder Strafe (FoK, SR 0.105) verbotenen Strafe oder Behandlung ausgesetzt wären. Gemäss der Praxis des Europäischen Gerichtshofes für Menschenrechte (EGMR) sowie jener des UN-Anti-Folterausschusses müssten die Beschwerdefüh- rerinnen eine konkrete Gefahr ("real risk") nachweisen oder glaubhaft ma- chen, dass ihnen im Fall einer Rückschiebung Folter oder unmenschliche Behandlung drohen würden (vgl. Urteil des EGMR Saadi gegen Italien vom 28. Februar 2008, Grosse Kammer 37201/06, §§ 124–127 m.w.H.). Da auch die allgemeine Menschenrechtssituation in Kolumbien den Wegwei- sungsvollzug zum heutigen Zeitpunkt nicht als unzulässig erscheinen lässt, erweist sich der angeordnete Vollzug der Wegweisung auch im Sinne der völkerrechtlichen Bestimmungen als zulässig. Insbesondere gilt auch an dieser Stelle darauf hinzuweisen, dass die Beschwerdeführenden sich so- fern sie Schutz benötigen an ihre heimatlichen Behörden zu wenden ha- ben, wobei sie sich bis zur allfälligen Schutzgewährung auch an einem al- ternativen Ort aufhalten können, namentlich in Bogotá.</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Kolumbien herrscht weder Krieg oder Bürgerkrieg noch eine Situ- ation allgemeiner Gewalt, aufgrund derer eine Rückkehr generell unzumut- bar wäre (vgl. bspw. die Urteile des BVGer D-3463/2025 vom 30. Juli 2025 E. 9.3.2 sowie D-1026/2024 vom 8. März 2024 E. 8.3.2, je m.w.H.).</w:t>
      </w:r>
    </w:p>
    <w:p>
      <w:r>
        <w:t>E-6823/2025 Seite 12</w:t>
      </w:r>
    </w:p>
    <w:p>
      <w:r>
        <w:rPr>
          <w:b/>
        </w:rPr>
        <w:t>E. 9.3.3</w:t>
      </w:r>
    </w:p>
    <w:p>
      <w:r>
        <w:t>Das SEM erwägt in der angefochtenen Verfügung zur Zumutbarkeit des Wegweisungsvollzugs im Wesentlichen fest, die Beschwerdeführen- den seien gebildet, berufserfahren und ohne ernsthafte gesundheitliche Beeinträchtigungen. Sie hätten ihr bisheriges Leben in Kolumbien ver- bracht und seien mit Land und Leuten bestens vertraut. Sie verfügten zu- dem über ein vielschichtiges Beziehungs- und Bekanntennetzwerk, wel- ches sie auf unterschiedliche Weise unterstützen könne. Was den gemein- samen Sohn der Beschwerdeführenden anbelange, würden keine Hin- weise vorliegen, welche die Zumutbarkeit seiner Rückkehr nach Kolumbien in Frage stellen würden. Diese Argumentation erweist sich als zutreffend und in der Beschwerde werden dagegen keinerlei Einwände erhoben, wes- halb vollumfänglich auf die zutreffenden Erwägungen der Vorinstanz ver- wiesen werden kann.</w:t>
      </w:r>
    </w:p>
    <w:p>
      <w:r>
        <w:rPr>
          <w:b/>
        </w:rPr>
        <w:t>E. 9.3.4</w:t>
      </w:r>
    </w:p>
    <w:p>
      <w:r>
        <w:t>Nach dem Gesagten erweist sich der Vollzug der Wegweisung auch als zumutbar.</w:t>
      </w:r>
    </w:p>
    <w:p>
      <w:r>
        <w:rPr>
          <w:b/>
        </w:rPr>
        <w:t>E. 9.4</w:t>
      </w:r>
    </w:p>
    <w:p>
      <w:r>
        <w:t>Schliesslich verfügen die Beschwerdeführenden über bis ins Jahr 2028 beziehungsweise 2035 gültige Reisepässe, und sie sind verpflichtet bei der Organisation der Rückreise mitzuwirken. Der Vollzug der Wegweisung er- weist sich auch als möglich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dem vorliegenden Urteil wird das Gesuch um Verzicht auf die Er- hebung eines Kostenvorschusses gegenstandslos. Die Beschwerdefüh- renden beantragen zudem die Gewährung der unentgeltlichen Prozessfüh- rung. Aus den vorstehenden Erwägungen ergibt sich, dass die Begehren als aussichtslos zu erachten sind. Damit ist eine der kumulativ zu erfüllen- den Voraussetzungen für die Gewährung der unentgeltlichen Prozessfüh- rung im Sinne von Art. 65 Abs. 1 VwVG nicht gegeben, weshalb das ent- sprechende Gesuch abzuweisen ist.</w:t>
      </w:r>
    </w:p>
    <w:p>
      <w:r>
        <w:t>E-6823/2025 Seite 13</w:t>
      </w:r>
    </w:p>
    <w:p>
      <w:r>
        <w:rPr>
          <w:b/>
        </w:rPr>
        <w:t>E. 11.2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E-6823/2025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