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E-6821/2016 vom 18. November 2016</w:t>
      </w:r>
    </w:p>
    <w:p>
      <w:r>
        <w:t>Bundesverwaltungsgericht, 2016-11-18, DE</w:t>
      </w:r>
    </w:p>
    <w:p>
      <w:r>
        <w:rPr>
          <w:b/>
        </w:rPr>
        <w:t xml:space="preserve">Quelle: </w:t>
      </w:r>
      <w:r>
        <w:t>https://mcp.opencaselaw.ch/entscheid/bvger_E-6821_2016</w:t>
      </w:r>
    </w:p>
    <w:p>
      <w:r>
        <w:t>FR: TAF E-6821/2016 du 18 novembre 2016</w:t>
      </w:r>
    </w:p>
    <w:p>
      <w:r>
        <w:t>IT: TAF E-6821/2016 del 18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3.5</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4</w:t>
      </w:r>
    </w:p>
    <w:p>
      <w:r>
        <w:t>Die anfänglich im Asylverfahren gemachten Angaben weichen diametral von den späteren ab. Letztere hat der Beschwerdeführer in der Erstbefragung und auf dem selbstständig ausgefüllten Personalienblatt nicht ansatzweise erwähnt (SEM-Akten, A2 und A8). Die Vorsätzlichkeit bestätigt er selbst (SEM-Akten, A15). Dies gilt praxisgemäss - entgegen den Beschwerdeausführungen (Beschwerde S. 4) - als ein zu berücksichtigender, gravierender Widerspruch (so bereits EMARK 1993/3 E. 3 S. 13). Vor diesem Hintergrund ist der gesamten Fluchtgeschichte die Glaubhaftigkeit und insbesondere der Glaubwürdigkeit des Beschwerdeführers der Boden entzogen. Hinzu kommt, dass der Beschwerdeführer im Verlauf des Verfahrens verschiedene Identitäten angab. Bei Personen, die ihre wahre Herkunft verschleiern oder verheimlichen (hierzu zählt auch die Falschangebe von Identitäten und deren nachträgliche Änderung), ist vermutungsweise davon auszugehen, dass keine flüchtlingsrelevanten Gründe vorliegen (vgl. BVGE 2014/12 E. 5.10). Hieran ändert die später nachgereichte Kebele-Karte, die ohnehin keine fälschungssicheren Merkmale aufweist, nichts. Es lassen sich mithin keine Rückschlüsse der eingereichten Beweismittel (z. B. Polizeisuchmeldung) auf die Person des Beschwerdeführers schliessen, womit die Frage nach deren Echtheit nicht zu beantworten ist. Der Beschwerdeführer ist bereits seit April 2014 darüber informiert, dass er Reisepapiere und Identitätsausweise abzugeben und im Asylverfahren seine Identität offenzulegen hat (SEM-Akten, A8, S. 2 und S. 7 f.; Art. 8 Abs. 1 Bst. a und b AsylG) und bestätigte unterschriftlich das Verständnis der Einleitung zur Erstbefragung, in der es heisst: "Sie haben nach Asylgesetz eine Mitwirkungspflicht. Sie müssen auf die von mir gestellten Fragen nach bestem Wissen antworten. Ungenaue, lückenhafte, widersprüchliche oder falsche Angaben sowie gefälschte Dokumente wirken sich negativ auf den Entscheid aus. Sie tragen somit eine grosse Verantwortung für Ihre Aussagen ... also für das, was Sie sagen, und auch für das, was Sie uns verheimlichen" (SEM-Akten, A8, S. 2). Gleichzeitig wurde er darauf hingewiesen, dass all seine Aussagen vertraulich behandelt und die Behörden in seinem Heimatland keine Kenntnis der Aussagen erhalten würden (SEM-Akten, A8, S. 1 f.). Vor diesem Hintergrund gehen seine Erklärungsversuche - beispielsweise er habe eine falsche Identität angegeben, weil er Angst um seine Mutter gehabt habe (Beschwerde S. 4) oder er sei falsch beraten worden (SEM-Akten, A15 und Beschwerde S. 4) - ins Leere. Auch sind die Beschwerdeausführungen oder die vielen Verweise auf das Handbuch Asyl und Rückkehr nicht geeignet, am Beweisergebnis etwas zu ändern. Um Wiederholungen betreffend die Vorfluchtgründe und deren Unglaubhaftigkeit zu vermeiden, kann auf die Ausführungen der Vorinstanz verweisen werden, die den Massstab des Glaubhaftmachens nicht verkannt und auf den vorliegenden Fall korrekt angewendet hat. Ihre Schlussfolgerungen sind weder in tatsächlicher noch in rechtlicher Hinsicht zu beanstanden. Sie hat - entgegen der pauschalen Kritik auf Beschwerdeebene (insb. Beschwerde S. 9) - die Vorbringen ausreichend gewürdigt. Die Rechtsmitteleingabe erschöpft sich in spärlichen Erklärungsversuchen, womit sie nicht aufzeigt, inwiefern die vorinstanzliche Beweiswürdigung Bundesrecht verletzen oder zu einer rechtsfehlerhaften Sachverhaltsfeststellung führen soll; solches ist auch nicht ersichtlich. Die Vorinstanz hat zu Recht das Bestehen von Vorfluchtgründen verneint. Was die exilpolitischen Aktivitäten anbelangt, zeichnet sich kein anderes Bild ab. Die Rechtsmitteleingabe wiederholt, dass der Beschwerdeführer an verschiedenen Demonstrationen in der Schweiz gegen die aktuelle Regierung in Äthiopien teilgenommen habe und wirft der Vorinstanz vor, sie habe eine Demonstrationsteilnahme am 26. Juni 2016 nicht berücksichtigt und keine Anstrengungen unternommen, das Interview des Beschwerdeführers mit einem Ginbot 7 Mitarbeiter im Internet zu öffnen. Gleichzeitig wird auf ein neues, der Beschwerde beigelegtes Beweismittel verwiesen (Interview mit dem Ethiopian Satellite Television Service [ESAT] vom 18. März 2016). Die äthiopischen Sicherheitsbehörden haben in jüngster Zeit die Beobachtung der Aktivisten der Exilgemeinschaften tatsächlich verstärkt. So setzt der äthiopische Staat gemäss verschiedener Berichte modernste Software ein, um die Telekommunikation der oppositionellen Bewegungen auch im Ausland zu überwachen (zum Ganzen und insbesondere zu den modernen sowie effizienten Überwachungsmethoden der äthiopischen Behörden gegen Mitglieder der Ginbot 7: Urteil des BVGer D-5809/2014 vom 17. März 2016). Unter diesen Umständen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sein dürften. Das Bundesverwaltungsgericht geht jedoch davon aus, dass sich die äthiopischen Sicherheitskräfte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(Urteil des BVGer E-4590/2016 vom 29. August 2016 E. 7.2). Hierzu zählt der Beschwerdeführer offensichtlich nicht. So lassen Interviews für sich alleine oder das "Mitlaufen" in Demonstrationen im vorgetragenen Sinne nicht auf eine ernsthafte und potentielle Gefährlichkeit des Beschwerdeführers aus Sicht des äthiopischen Staates schliessen. Sodann hat bereits die Vorinstanz richtig erkannt, dass die Beweismittel den Beschwerdeführer nicht in herausragender Stellung zeigen. Dasselbe gilt für die auf Beschwerdeebene nachgereichten Beweismittel (ein Foto - auf dem fünf Erwachsenen und zwei Kinder um einen Tisch stehen - und ein Interview). Der Beschwerdeführer ist auch nicht als ernsthafter und potenziell gefährlicher Regimegegner einzustufen, zumal er nicht an eine politische Tätigkeit im Heimatstaat oder an eine glaubhaft gemachte politische Verfolgung gemäss Art. 3 AsylG anknüpfen kann. Indem der Beschwerdeführer im Laufe des Asylverfahrens komplett verschiedene Identitäten angab - seine Identität somit nicht mit Sicherheit feststeht -, kann ferner nicht der Beschwerdeausführung gefolgt werden, es sei sein Name im Interview genannt worden, womit er gefährdet beziehungsweise identifizierbar sei. Die Vorinstanz hat folgerichtig neben den Vorfluchtgründen auch das Vorliegen von Nachfluchtgründen verneint.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 Bei erheblichen Mitwirkungspflichtverletzungen ist vermutungsweise davon auszugehen, dass einer Wegweisung keine Vollzugshindernisse im gesetzlichen Sinne entgegenstehen (statt vieler BVGE 2014/12 E. 6 S. 213 f.). Das gilt für die Zulässigkeit (Art. 83 Abs. 3 AuG), die Zumutbarkeit (Art. 83 Abs. 4 AuG) und die Möglichkeit (Art. 83 Abs. 2 AuG) des Wegweisungsvollzugs gleichermassen. Die Vorinstanz geht von einer äthiopischen Staatsangehörigkeit aus. Es sind den Akten keine Anhaltspunkte zu entnehmen, die eine andere Beurteilung indizieren.</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der Beschwerdeführer für den Fall einer Ausschaffung in sein Heimatland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Der konstanten Praxis zufolge ist von der Zumutbarkeit des Wegweisungsvollzugs nach Äthiopien auszugehen (statt vieler BVGE 2011/25 E. 8.3, so auch bereits Entscheidungen und Mitteilungen der schweizerischen Asylrekurskommission [EMARK] 1998 Nr. 22). Es liegen auch keine individuellen Wegweisungshindernisse vor, die auf eine Unzumutbarkeit des Wegweisungsvollzugs des jungen und gesunden Beschwerdeführers in seine Heimat schliessen lassen würden. Was sein exilpolitisches Engagement anbelangt, geht dieses nicht über niedrigprofilierte Erscheinungsformen exilpolitischer Proteste und Teilnahmen an Veranstaltungen und Interviews hinaus, die ihn bei einer Rückkehr als einen potentiell gefährlichen Regimegegner erscheinen lassen würden (E. 4). Im Übrigen hat der Beschwerdeführer durch die Verheimlichung respektive Verschleierung seiner Herkunft die ihm obliegende Mitwirkungspflicht im Asylverfahren in grober Weise verletzt (Art. 8 AsylG). Er hat die Folgen seiner fehlenden Mitwirkung selbst zu tragen (BVGE 2014/12 E. 6). Es ist nicht Sache der Behörden bei fehlenden, gezielt vorenthaltenen Hinweisen nach allfälligen Wegweisungsvollzugshindernissen in hypothetischen Herkunftsländern zu forschen. Vermutungsweise ist in solchen Fällen davon auszugehen, einer Wegweisung stünden keine Vollzugshindernisse im gesetzlichen Sinne entgegen (BVGE 2014/12 E. 6, Urteil BVGer E-2450/2014 vom 22. Mai 2014).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