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E-681/2023 vom 19. Mai 2023</w:t>
      </w:r>
    </w:p>
    <w:p>
      <w:r>
        <w:t>Bundesverwaltungsgericht, 2023-05-19, FR</w:t>
      </w:r>
    </w:p>
    <w:p>
      <w:r>
        <w:rPr>
          <w:b/>
        </w:rPr>
        <w:t xml:space="preserve">Quelle: </w:t>
      </w:r>
      <w:r>
        <w:t>https://mcp.opencaselaw.ch/entscheid/bvger_E-681_2023</w:t>
      </w:r>
    </w:p>
    <w:p>
      <w:r>
        <w:t>FR: TAF E-681/2023 du 19 mai 2023</w:t>
      </w:r>
    </w:p>
    <w:p>
      <w:r>
        <w:t>IT: TAF E-681/2023 del 19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1.3</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3.5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déjà relevé, les investigations entreprises par le SEM ont révélé, après consultation de l'unité centrale du système européen Eurodac, que le recourant a franchi la frontière du territoire des Etats Schengen en Croatie et que ses empreintes digitales y ont été enregistrées, le 24 septembre 2022.</w:t>
      </w:r>
    </w:p>
    <w:p>
      <w:r>
        <w:rPr>
          <w:b/>
        </w:rPr>
        <w:t>E. 4.2</w:t>
      </w:r>
    </w:p>
    <w:p>
      <w:r>
        <w:t>Le 24 novembre 2022, le SEM a dès lors soumis aux autorités croates compétentes, dans les délais fixés à l'art. 21 par. 1 RD III, une requête aux fins de prise en charge de l'intéressé, fondée sur l'art. 13 par. 1 de ce même règlement.</w:t>
      </w:r>
    </w:p>
    <w:p>
      <w:r>
        <w:rPr>
          <w:b/>
        </w:rPr>
        <w:t>E. 4.3</w:t>
      </w:r>
    </w:p>
    <w:p>
      <w:r>
        <w:t>Par communication du 24 janvier 2023, soit dans le délai fixé par l'art. 22 par. 1 RD III, lesdites autorités ont expressément accepté de prendre en charge l'intéressé, sur la base de cette même disposition.</w:t>
      </w:r>
    </w:p>
    <w:p>
      <w:r>
        <w:rPr>
          <w:b/>
        </w:rPr>
        <w:t>E. 4.4</w:t>
      </w:r>
    </w:p>
    <w:p>
      <w:r>
        <w:t>La compétence de la Croatie pour le traitement de la demande d'asile du recourant est donc donnée, au regard des critères de détermination de l'Etat membre responsable (art. 7 ss RD III). Ce point n'est du reste pas contesté.</w:t>
      </w:r>
    </w:p>
    <w:p>
      <w:r>
        <w:rPr>
          <w:b/>
        </w:rPr>
        <w:t>E. 5.1</w:t>
      </w:r>
    </w:p>
    <w:p>
      <w:r>
        <w:t>En vertu de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du Tribunal E-1488/2020 précité consid. 9.5).</w:t>
      </w:r>
    </w:p>
    <w:p>
      <w:r>
        <w:rPr>
          <w:b/>
        </w:rPr>
        <w:t>E. 5.5</w:t>
      </w:r>
    </w:p>
    <w:p>
      <w:r>
        <w:t>Par conséquent, l'application de l'art. 3 par. 2 du règlement Dublin III ne se justifie pas en l'espèce.</w:t>
      </w:r>
    </w:p>
    <w:p>
      <w:r>
        <w:rPr>
          <w:b/>
        </w:rPr>
        <w:t>E. 6.1</w:t>
      </w:r>
    </w:p>
    <w:p>
      <w:r>
        <w:t>Le recourant s'oppose néanmoins à son transfert vers la Croatie, déclarant notamment y avoir été maltraité par la police (détention dans des conditions inhumaines, sans nourriture ni eau, etc.). Au stade du recours, il a également ajouté avoir été battu par des agents croates et craindre, en cas de transfert dans ce pays, d'être renvoyé au Burundi sans avoir le droit à une procédure équitable. Il a ajouté avoir "extrêmement peur" de retourner en Croatie et nécessiter un soutien sur le plan psychologique.</w:t>
      </w:r>
    </w:p>
    <w:p>
      <w:r>
        <w:rPr>
          <w:b/>
        </w:rPr>
        <w:t>E. 6.2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w:t>
      </w:r>
    </w:p>
    <w:p>
      <w:r>
        <w:rPr>
          <w:b/>
        </w:rPr>
        <w:t>E. 6.3</w:t>
      </w:r>
    </w:p>
    <w:p>
      <w:r>
        <w:t>Le recourant n'a pas démontré que sa demande de protection, une fois déposée, ne serait pas traitée par les autorités croates conformément aux dispositions légales applicables dans ce pays et à la directive Procédure. En outre, il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En particulier, l'ordre de quitter le territoire croate reçu par l'intéressé paraît cohérent avec le fait que celui-ci n'a pas communiqué son intention d'y déposer une demande d'asile. On ne saurait en conclure que sa demande d'asile, après son dépôt, ne sera pas traitée dans ce pays de manière régulière, étant encore rappelé que les autorités croates ont expressément accepté de le prendre en charge.</w:t>
      </w:r>
    </w:p>
    <w:p>
      <w:r>
        <w:rPr>
          <w:b/>
        </w:rPr>
        <w:t>E. 6.4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ni même allégué, que ses conditions d'existence dans ce pays revêtiraient un tel degré de pénibilité et de gravité, pour un requérant d'asile, qu'elles seraient constitutives d'un traitement contraire à l'art. 3 CEDH ou encore à l'art. 3 Conv. torture (cf. arrêt du TAF F-1125/2021 du 19 mars 2021 consid. 4.5).</w:t>
      </w:r>
    </w:p>
    <w:p>
      <w:r>
        <w:rPr>
          <w:b/>
        </w:rPr>
        <w:t>E. 6.5</w:t>
      </w:r>
    </w:p>
    <w:p>
      <w:r>
        <w:t>Les mauvais traitements qu'il aurait subis lors de son interpellation en Croatie ne sont en l'état ni étayés, ni décisifs, et ne suffisent pas à établir qu'il aurait subi de la part de la police croate des traitements contraires aux art. 3 CEDH ou 3 et 16 Conv. torture. En outre, les allégations de violences faites au stade du recours, tardives, sommaires et en rien étayées ne convainquent pas, étant rappelé que l'intéressé n'a à aucun moment mentionné avoir été frappé par la police croate lors de son entretien Dublin. Enfin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w:t>
      </w:r>
    </w:p>
    <w:p>
      <w:r>
        <w:rPr>
          <w:b/>
        </w:rPr>
        <w:t>E. 6.6</w:t>
      </w:r>
    </w:p>
    <w:p>
      <w:r>
        <w:t>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 européenne des droits de l'homme (CourEDH ; cf. arrêt du TAF F-1543/2018 du 19 mars 2018 consid. 6.2 ainsi que art. 26 Directive Accueil).</w:t>
      </w:r>
    </w:p>
    <w:p>
      <w:r>
        <w:rPr>
          <w:b/>
        </w:rPr>
        <w:t>E. 6.7</w:t>
      </w:r>
    </w:p>
    <w:p>
      <w:r>
        <w:t>S'agissant de sa situation médicale, il ressort des derniers rapports médicaux versés au dossier que le recourant souffre d'une hématospermie chronique, pour laquelle des investigations supplémentaires sont à organiser (US scrotal, CT-scan pelvien, culture de sperme et une urétéroscopie si ces derniers examens devaient ne donner aucun résultat). Il présente par ailleurs, sur le plan psychique, un trouble de l'adaptation avec réaction mixte anxieuse et dépressive et un état de stress post-traumatique (suspecté), traités par un suivi psychothérapeutique et la prise de Quétiapine (cf. rapport médical daté du 2, respectivement 6 février 2023).</w:t>
      </w:r>
    </w:p>
    <w:p>
      <w:r>
        <w:rPr>
          <w:b/>
        </w:rPr>
        <w:t>E. 6.7.1</w:t>
      </w:r>
    </w:p>
    <w:p>
      <w:r>
        <w:t>Compte tenu de la jurisprudence restrictive en la matière, il y a lieu de considérer que, sans minimiser les affections présentées par le recourant, celles-ci ne sont pas d'une gravité telle qu'il se justifierait de renoncer à son transfert vers la Croatie (cf., à ce sujet, arrêt de la CourEDH Paposhvili c. Belgique, arrêt de la Grande Chambre du 13 décembre 2016 [req. n°41738/10]).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 et bien que ce point ne soit pas contesté -, les documents médiaux établis à ce jour ne mentionnent pas la nécessité d'entreprendre un suivi médical urgent en lien avec les maladies dont souffre le recourant et auquel il n'aurait pas accès en Croatie. Au demeurant,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croates les renseignements permettant une telle prise en charge (art. 31 et 32 du règlement Dublin III).</w:t>
      </w:r>
    </w:p>
    <w:p>
      <w:r>
        <w:rPr>
          <w:b/>
        </w:rPr>
        <w:t>E. 6.7.2</w:t>
      </w:r>
    </w:p>
    <w:p>
      <w:r>
        <w:t>Concernant les idées suicidaires multiscénarisées relevées dans le rapport médical du 2 février 2023,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F-605/2023 du 9 mars 2023 consid. 6.5.4 et jurisp. cit.). Si des menaces auto-agressives devaient apparaître au moment de l'organisation du départ de Suisse, il appartiendrait donc aux autorités chargées de l'exécution du transfert de prévoir des mesures concrètes pour en prévenir la réalisation.</w:t>
      </w:r>
    </w:p>
    <w:p>
      <w:r>
        <w:rPr>
          <w:b/>
        </w:rPr>
        <w:t>E. 6.7.3</w:t>
      </w:r>
    </w:p>
    <w:p>
      <w:r>
        <w:t>Dès lors, il y a lieu de retenir que l'état de santé du recourant ne saurait faire obstacle à l'exécution de son transfert vers la Croatie.</w:t>
      </w:r>
    </w:p>
    <w:p>
      <w:r>
        <w:rPr>
          <w:b/>
        </w:rPr>
        <w:t>E. 6.8</w:t>
      </w:r>
    </w:p>
    <w:p>
      <w:r>
        <w:t>Par conséquent, le transfert de l'intéressé vers la Croatie n'est pas contraire aux obligations découlant de dispositions conventionnelles auxquelles la Suisse est liée 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7.1</w:t>
      </w:r>
    </w:p>
    <w:p>
      <w:r>
        <w:t>Compte tenu de ce qui précède, 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Le recours doit par conséquent être rejeté et la décision attaquée confirmée.</w:t>
      </w:r>
    </w:p>
    <w:p>
      <w:r>
        <w:rPr>
          <w:b/>
        </w:rPr>
        <w:t>E. 7.2</w:t>
      </w:r>
    </w:p>
    <w:p>
      <w:r>
        <w:t>S'avérant manifestement infondé au moment où le Tribunal statue, il est rejeté dans une procédure à juge unique, avec l'approbation d'un second juge (art. 111 let. e LAsi).</w:t>
      </w:r>
    </w:p>
    <w:p>
      <w:r>
        <w:rPr>
          <w:b/>
        </w:rPr>
        <w:t>E. 8</w:t>
      </w:r>
    </w:p>
    <w:p>
      <w:r>
        <w:t>Comme relevé, l'intéressé demande l'assistance judiciaire "totale", mais indique uniquement ne pas pouvoir faire face aux frais de la procédure, ne requérant pas le soutien d'un mandataire d'office. Il a d'ailleurs déposé un recours complet (complété ultérieurement) et ne prétend aucunement avoir été empêché d'exposer tous ses arguments. Sa demande doit donc être considérée comme une demande d'assistance judiciaire partielle. Celle-ci doit être admise, dès lors que les conclusions du recours, au moment de son dépôt, n'étaient pas dénuées de chances de succès et que le recourant est indigent (art. 65 al. 1 PA).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