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E-6817/2011 vom 3. Oktober 2012</w:t>
      </w:r>
    </w:p>
    <w:p>
      <w:r>
        <w:t>Bundesverwaltungsgericht, 2012-10-03, DE</w:t>
      </w:r>
    </w:p>
    <w:p>
      <w:r>
        <w:rPr>
          <w:b/>
        </w:rPr>
        <w:t xml:space="preserve">Quelle: </w:t>
      </w:r>
      <w:r>
        <w:t>https://mcp.opencaselaw.ch/entscheid/bvger_E-6817_2011</w:t>
      </w:r>
    </w:p>
    <w:p>
      <w:r>
        <w:t>FR: TAF E-6817/2011 du 3 octobre 2012</w:t>
      </w:r>
    </w:p>
    <w:p>
      <w:r>
        <w:t>IT: TAF E-6817/2011 del 3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unter Vorbehalt der nachfolgenden Erwägungen einzutreten.</w:t>
      </w:r>
    </w:p>
    <w:p>
      <w:r>
        <w:rPr>
          <w:b/>
        </w:rPr>
        <w:t>E. 1.2</w:t>
      </w:r>
    </w:p>
    <w:p>
      <w:r>
        <w:t>Die Beschwerdeschrift hat die Begehren und deren Begründung mit Angabe der Beweismittel zu enthalten (Art. 52 Abs. 1 VwVG). Nach Treu und Glauben darf und muss von einer rechtskundig vertretenen Partei erwartet werden, dass sie ihre Begehren in der Sache sowie Verfahrensanträge klar erkennbar und separat von der Begründung ausweist. Soweit die Beschwerde verdeckte Anträge im Lauftext enthält (z.B. Beschwerde S. 7 Bst. d), sind diese nicht wirksam gestellt und offensichtlich unzulässig (vgl. Art. 52 Abs. 2 VwVG). Darauf ist nicht einzutreten.</w:t>
      </w:r>
    </w:p>
    <w:p>
      <w:r>
        <w:rPr>
          <w:b/>
        </w:rPr>
        <w:t>E. 1.3</w:t>
      </w:r>
    </w:p>
    <w:p>
      <w:r>
        <w:t>Der Beschwerdeführer hat mit Eingabe 10. Februar 2012 mitgeteilt, innert zehn Tagen ein Ausstandsbegehren einzureichen, was er in vorliegender Sache bis heute nicht getan hat. Ein wirksamer Antrag fehlt. Auf die entsprechenden Ausführungen ist nicht einzugehen.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macht zunächst eine Verletzung formellen Rechts geltend und bringt vor, die Vorinstanz habe das rechtliche Gehör in mehrfacher Hinsicht verletzt.</w:t>
      </w:r>
    </w:p>
    <w:p>
      <w:r>
        <w:rPr>
          <w:b/>
        </w:rPr>
        <w:t>E. 3.1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BVGE 2009/35 E. 6.4.1 m.w.H.). Mit dem Gehörsanspruch korreliert die Pflicht der Behörden, dass sie die Vorbringen tatsächlich hört, ernsthaft prüft und in ihrer Entscheidfindung angemessen berücksichtigt.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es ihren Entscheid stützt. Nicht erforderlich ist, dass sich die Begründung mit allen Parteistandpunkten einlässlich auseinandersetzt und jedes einzelne Vorbringen ausdrücklich widerlegt (BGE 136 I 184 E. 2.2.1 S. 188).</w:t>
      </w:r>
    </w:p>
    <w:p>
      <w:r>
        <w:rPr>
          <w:b/>
        </w:rPr>
        <w:t>E. 3.2.1</w:t>
      </w:r>
    </w:p>
    <w:p>
      <w:r>
        <w:t>Soweit der Beschwerdeführer kritisiert, die Vorinstanz ignoriere das Grundsatzurteil des Bundesverwaltungsgerichts BVGE 2011/24 zur Lageanalyse in Sri Lanka (Beschwerde, S. 4), übt er rein appellatorische Kritik, was unzulässig ist (Frank Seethaler/Fabia Bochsler, in: VwVG, Praxiskommentar zum Bundesgesetz über das Verwaltungsverfahren, Bernhard Waldmann/Philippe Weissenberger (Hrsg.), Zürich 2009, Art. 52 N. 86 Fn. 118). Im Übrigen zielt die Kritik auf die rechtliche Würdigung der Vorinstanz und verkennt, dass der Gehörsanspruch grundsätzlich nur den rechtserheblichen Sachverhalt, nicht aber Rechtsnormen oder von den Behörden vorgesehenen rechtlichen Begründungen betrifft (vgl. BGE 132 II 485 E. 3.2 S. 494).</w:t>
      </w:r>
    </w:p>
    <w:p>
      <w:r>
        <w:rPr>
          <w:b/>
        </w:rPr>
        <w:t>E. 3.2.2</w:t>
      </w:r>
    </w:p>
    <w:p>
      <w:r>
        <w:t>Der Beschwerdeführer nimmt eine Gehörsverletzung an, weil die letzte Anhörungen über zwei Jahre vor dem Erlass der angefochtenen Verfügung stattgefunden habe, die Vorinstanz die neueste Entwicklung unberücksichtigt lasse und zu zahlreichen Elementen keine Fragen gestellt habe (Beschwerde, S. 4/5 und 7). Die Vorbringen enthalten indessen nichts, was über gerügte Verletzung der Untersuchungspflicht hinausginge (dazu E. 4). Entgegen der Behauptung des Beschwerdeführers steht aufgrund der Akten fest, dass ihm das Recht auf vorgängige Stellungnahme an den Anhörungen gewährt wurde. Eine Gehörsverletzung liegt nicht vor.</w:t>
      </w:r>
    </w:p>
    <w:p>
      <w:r>
        <w:rPr>
          <w:b/>
        </w:rPr>
        <w:t>E. 3.2.3</w:t>
      </w:r>
    </w:p>
    <w:p>
      <w:r>
        <w:t>Die Rüge, die angefochtene Verfügung verletze die Begründungspflicht, geht fehl. Die Vorinstanz war nicht gehalten, eine "vollständige Liste der verwendeten Länderinformationen" offenzulegen, zu "validieren" und sie "analog zu einem Sachverständigengutachten" verständlich darzustellen und schlüssig zu interpretieren (Beschwerde, S. 8/10). Die Begründungspflicht dient nicht der Offenlegung von Amtswissen. Sie verlangt vielmehr, dass das Bundesamt die wesentlichen Überlegungen nennt, die es dem konkreten Entscheid zugrunde legt. Die Vorinstanz hat in der angefochtenen Verfügung einlässlich begründet, inwiefern sich die Situation in Sri Lanka seit dem Ende des Bürgerkriegs verändert habe und wie es die Situation heute einschätze. Sie stützt sich dabei insbesondere auf die Richtlinien des UNHCR. Dass sie darüber hinaus keine weiteren Länderinformationen zitiert, die aus allgemein zugänglichen Quellen erhältlich sind, ist nicht zu beanstanden. Die Beschwerde selbst zeigt denn auch, dass eine sachgerechte Anfechtung möglich war. Der Begründungspflicht ist damit Genüge getan.</w:t>
      </w:r>
    </w:p>
    <w:p>
      <w:r>
        <w:rPr>
          <w:b/>
        </w:rPr>
        <w:t>E. 4</w:t>
      </w:r>
    </w:p>
    <w:p>
      <w:r>
        <w:t>Der Beschwerdeführer bringt sodann zum Sachverhalt vor, einige Elemente seien nicht abschliessend oder überhaupt nicht abgeklärt ("offen gebliebene Sachverhaltselemente"), andere wiederum unrichtig festgestellt worden ("falsche Sachverhaltsfeststellung").</w:t>
      </w:r>
    </w:p>
    <w:p>
      <w:r>
        <w:rPr>
          <w:b/>
        </w:rPr>
        <w:t>E. 4.1</w:t>
      </w:r>
    </w:p>
    <w:p>
      <w:r>
        <w:t>Gemäss Art. 12 VwVG stellt die Behörde den Sachverhalt von Amtes wegen fest und bedient sich nötigenfalls der gesetzlichen Beweismittel (Bstn. a-e). Der Untersuchungsgrundsatz findet seine Grenze an der Mitwirkungspflicht der Asylsuchenden (Art. 8 AsylG; vgl. auch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 Verwaltungsverfahren und Verwaltungsrechtspflege des Bundes, Zürich 1998, 2. Aufl., Rz. 630). Das Bundesverwaltungsgericht kann den rechtserheblichen Sachverhalt, wie ihn die Vorinstanz festgestellt hat, uneingeschränkt überprüfen (vgl.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4.2</w:t>
      </w:r>
    </w:p>
    <w:p>
      <w:r>
        <w:t>Der Beschwerdeführer beanstandet offen gebliebene Sachverhaltselemente, ohne sich mit den Feststellungen in der angefochtenen Verfügung auseinanderzusetzen. Statt dessen stellt er ihnen eigene Fragen gegenüber, die seiner Ansicht nach hätten gestellt werden können (Beschwerde, S. 5/6). Damit zeigt er nicht auf, inwieweit die Sachverhaltsfeststellung im Lichte der einschlägigen Rechtsnormen unvollständig sein soll, und solches ist auch nicht ersichtlich. Eine Unvollständigkeit erblickt der Beschwerdeführer ferner darin, dass er zu den aktuellen Ereignissen der vergangenen zwei Jahre nicht angehört worden sei. Die Beschwerde konkretisiert nicht ansatzweise, inwiefern sich der rechtserhebliche Sachverhalt seit der Anhörung verändert haben soll. Die Anhörung fand im August 2009, mithin nach dem militärischen Ende des Bürgerkriegs in Sri Lanka, statt. Damit steht fest, dass der Beschwerdeführer sich bereits im erstinstanzlichen Verfahren zu seiner persönlichen Situation (und jener seiner Familie) nach dem Kriegsende hätte äusseren können. Die Beschwerde übersieht, dass die Mitwirkungspflicht im Sinne von Art. 8 AsylG verlangt, dass Asylsuchende bei der Feststellung des Sachverhaltes aktiv mitwirken (BVGE 2011/27 E. 4.2 S. 539). Dem Beschwerdeführer wäre es jederzeit möglich und zumutbar gewesen, die Behörden über allfällige Veränderungen, die er als rechtserheblich erachtet, in Kenntnis zu setzen, wozu offenbar kein Anlass bestand.</w:t>
      </w:r>
    </w:p>
    <w:p>
      <w:r>
        <w:rPr>
          <w:b/>
        </w:rPr>
        <w:t>E. 4.3</w:t>
      </w:r>
    </w:p>
    <w:p>
      <w:r>
        <w:t>Beschwerdeführer rügt eine "komplett falsche Sachverhaltsfeststellung" (Beschwerde, S. 6/7).</w:t>
      </w:r>
    </w:p>
    <w:p>
      <w:r>
        <w:rPr>
          <w:b/>
        </w:rPr>
        <w:t>E. 4.3.1</w:t>
      </w:r>
    </w:p>
    <w:p>
      <w:r>
        <w:t>Die Rüge wird im Zusammenhang mit Länderinformationen erhoben. Allgemeine Länderinformationen nehmen eine Mittelstellung zwischen Sachverhalt und Rechtsnorm ein, sind aber weder Teil des Obersatzes (Rechtsnorm) noch des Untersatzes (Sachverhaltsfeststellung). Sie gehören auch nicht zu den gesetzlichen Beweismitteln im Sinne von Art. 12 Bstn. a-e VwVG (Urkunden, Auskünfte der Parteien, Auskünfte oder Zeugnis von Drittpersonen, Augenschein oder Gutachten von Sachverständigen). Vielmehr handelt es sich um allgemeine Hintergrundinformationen, die einer quellenkritischen Auslegung bedürfen und denen lediglich Hilfsfunktion bei der Sachverhaltsfeststellung zukommt. Diese selbst muss im konkreten Einzelfall unrichtig sein (allenfalls als Folge einer nicht aussagekräftigen Länderinformation), um den Beschwerdegrund der unrichtigen Feststellung des rechtseherblichen Sachverhaltes erfüllen zu können. Beanstandet wird konkret die Erwägung, wonach der Einfluss der bewaffneten Gruppen seit dem Ende des Bürgerkrieges stark abgenommen habe, auf eine Zusammenarbeit der Regierung mit bewaffneten Organisationen oder Gruppierungen keinerlei Hinweise bestünden und Übergriffe auf die Zivilbevölkerung vonseiten krimineller Einzeltäter oder bewaffneter Gruppen mittlerweile von den zuständigen Behörden geahndet würden (angefochtene Verfügung, S. 3). Die Erwägung der Vorinstanz ist allgemeiner Natur. An deren separaten Überprüfung besteht kein schutzwürdiges Interesse, weil die Beschwerde nicht zur Klärung allgemeiner Fragen (Sach- oder Rechtsfragen) zur Verfügung steht.</w:t>
      </w:r>
    </w:p>
    <w:p>
      <w:r>
        <w:rPr>
          <w:b/>
        </w:rPr>
        <w:t>E. 4.3.2</w:t>
      </w:r>
    </w:p>
    <w:p>
      <w:r>
        <w:t>Unter Bezugnahme auf das Grundsatzurteil wird sodann vorgebracht, das Bundesverwaltungsgericht unterscheide nicht zwischen LTTE Kader und blossen Hilfspersonen der LTTE. Das trifft zu (BVGE 2011/24 E. 8.1 S. 493 f.). Die Feststellung, dass der Beschwerdeführer nie geltend gemacht habe, ein aktives oder führendes Mitglied der LTTE gewesen zu, ist deshalb aber nicht tatsachenwidrig und die Tatsachenfeststellung selbst wird vom Beschwerdeführer nicht angefochten. Das Vorbringen ist unbehelflich.</w:t>
      </w:r>
    </w:p>
    <w:p>
      <w:r>
        <w:rPr>
          <w:b/>
        </w:rPr>
        <w:t>E. 4.3.3</w:t>
      </w:r>
    </w:p>
    <w:p>
      <w:r>
        <w:t>Bezüglich der Sicherheitslage im Norden und Osten wird wiederum bloss die allgemeine Einschätzungen der Vorinstanz zur Zumutbarkeit des Wegweisungsvollzuges beanstandet. Der Beschwerdeführer will einen Widerspruch zum Grundsatzurteil ausmachen, zeigt aber auch hier nicht auf, inwiefern eine für die konkrete Entscheidung erforderliche Tatsache aktwidrig oder sonst wie fehlehrhaft zustande gekommen sein soll. Die Beanstandungen zum vorinstanzlichen Sachverhalt erweisen sich als unbegründet.</w:t>
      </w:r>
    </w:p>
    <w:p>
      <w:r>
        <w:rPr>
          <w:b/>
        </w:rPr>
        <w:t>E. 5</w:t>
      </w:r>
    </w:p>
    <w:p>
      <w:r>
        <w:t>Der Beschwerdeführer führt zum materiellen Recht aus, die Vorinstanz habe Bundesrecht, insbesondere Art. 3 und 7 AsylG, verletzt.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(Art. 7 AsylG).</w:t>
      </w:r>
    </w:p>
    <w:p>
      <w:r>
        <w:rPr>
          <w:b/>
        </w:rPr>
        <w:t>E. 5.2</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je m.w.H.) Das Bundesverwaltungsgericht nahm in BVGE 2011/24 eine umfassende Analyse der aktuellen Situation in Sri Lanka vor. Danach hat sich seit dem Ende des bewaffneten Konflikts zwischen der sri-lankischen Armee und den LTTE im Mai 2009 die Lage in Sri Lanka erheblich verbessert. Die LTTE gelten als militärisch vernichtet. Die Sicherheitslage hat sich in bedeutsamer Weise stabilisiert.</w:t>
      </w:r>
    </w:p>
    <w:p>
      <w:r>
        <w:rPr>
          <w:b/>
        </w:rPr>
        <w:t>E. 5.3</w:t>
      </w:r>
    </w:p>
    <w:p>
      <w:r>
        <w:t>Die Vorinstanz begründet ihren Entscheid damit, dass die Vorbringen nicht asylrelevant seien. Die LTTE stelle nach ihrer militärischen Niederlage im Mai 2009 keine konkrete Gefahr mehr dar für den Beschwerdeführer, der nie geltend gemacht habe, ein aktives oder gar führendes Mitglied der LTTE gewesen zu sein. Er habe lediglich bis 2004 Transporte für die LTTE durchgeführt, an Heldentagen ausgeholfen und 2005 an einem dreitägigen Training teilgenommen. Zudem habe er angegeben, nach seinen Festnahmen durch die sri-lankischen Sicherheitskräfte sei er jeweils nach kurzer Zeit wieder freigelassen worden und habe einen Passierschein nach Colombo ausgestellt erhalten, wo er über ein Jahr registriert gewohnt habe. In seinen Schilderungen fänden sich keine Hinweise darauf, dass die sri-lankischen Behörden heute ein ernsthaftes Interesse daran haben könnten, ihn zu verfolgen, da er nur ein geringes politisches Profil habe.</w:t>
      </w:r>
    </w:p>
    <w:p>
      <w:r>
        <w:rPr>
          <w:b/>
        </w:rPr>
        <w:t>E. 5.4</w:t>
      </w:r>
    </w:p>
    <w:p>
      <w:r>
        <w:t>Was dagegen in der Beschwerde vorgebracht wird, ist nicht geeignet, eine Bundesrechtsverletzung darzutun. Der Beschwerdeführer erfüllt keines der in BVGE 2011/24 dargelegten Risikoprofile ([1.] der politischen Opposition verdächtigte Personen, [2.] kritisch auftretende Journalisten und Medienschaffende, Menschrechtsaktivisten und regimekritische NGO-Vertreter, [3.] Personen, die Opfer oder Zeugen schwerer Menschrechtsverstösse wurden oder diesbezüglich juristische Schritte eingeleitet haben, [4.] Rückkehrer aus der Schweiz, denen nahe Kontakte zu den LTTE unterstellt werden beziehungsweise [5.] die über beträchtliche finanzielle Mittel verfügen). Namentlich gehört er entgegen seiner Auffassung weder der ersten noch der vierten Gruppe an. Betreffend die erste Risikogruppe ist festzustellen, dass die vom Beschwerdeführer für die LTTE durchgeführten Fahrten und das dreitägigen Trainingslager offensichtlich nicht darauf schliessen lassen, er sei ein aktives oder gar führendes Mitglied der LTTE gewesen, welches heute noch einer erhöhten Verfolgungsgefahr unterliegt. Dieser Schluss wird dadurch bestätigt, dass der Beschwerdeführer im Jahre 2007 seitens der sri-lankischen Behörden einen Passierschein ausgestellt erhielt, wobei diesbezüglich unerheblich ist, dass er Herzprobleme hatte. Wäre er tatsächlich unter Verdacht gestanden, hätte er auch unter diesem Umstand keinen solchen Schein erhalten. Ebenso wenig vermag der Beschwerdeführer in diesem Zusammenhang etwas aus den Tötungen von Berufskollegen für sich abzuleiten. Die Todesscheine belegen nicht, dass die Tötungen mit der Tätigkeit als C._______ kausal waren. Zudem geschahen diese in einer Zeit, als der Bürgerkrieg noch andauerte und zahlreiche Menschen ihr Leben deshalb verloren. Zum vierten Risikoprofil ist festzuhalten, dass der Beschwerdeführer allein aus der Tatsache, dass sich ehemalige Kader der LTTE in der Schweiz aufhalten, nichts zu seinen Gunsten abzuleiten vermag. Sodann ist aufgrund seiner Tätigkeit nicht davon auszugehen, dass ihm während seines Aufenthalts in der Schweiz nahe Kontakte zu LTTE-Kadern im Sinne von BVGE 2011/24 unterstellt werden können. Zwar macht er in der Rechtsmitteleingabe erstmals ein exilpolitisches Engagement geltend. Die blosse und durch nichts belegte Teilnahme an wenigen Demonstrationen vor rund einem Jahr genügt jedoch nicht, um auf entsprechende Kontakte und das Vorliegen subjektiver Nachfluchtgründe schliessen zu können. Schliesslich erschöpfen sich die weiteren Vorbringen des Beschwerdeführers in einer blossen Wiederholung der vorinstanzlichen Asylvorbringen oder allgemeinen Ausführungen zur Lage in Sri Lanka und die dazu eingereichten Beweismittel sind unerheblich. Der Beschwerdeführer vermag damit eine Verletzung von Bundesrecht nicht dartun. Die Vorinstanz hat das Asylgesuch demnach zu Recht abgelehnt.</w:t>
      </w:r>
    </w:p>
    <w:p>
      <w:r>
        <w:rPr>
          <w:b/>
        </w:rPr>
        <w:t>E. 6</w:t>
      </w:r>
    </w:p>
    <w:p>
      <w:r>
        <w:t>Gemäss Art. 44 Abs. 1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wird wurde zu Recht angeordnet, was in der Beschwerde nicht beanstandet wird.</w:t>
      </w:r>
    </w:p>
    <w:p>
      <w:r>
        <w:rPr>
          <w:b/>
        </w:rPr>
        <w:t>E. 7</w:t>
      </w:r>
    </w:p>
    <w:p>
      <w:r>
        <w:t>Der Beschwerdeführer wendet sich indessen gegen den Wegweisungsvollzug und macht eine Verletzung von Art. 83 Abs. 3 und 4 des Bundesgesetzes vom 16. Dezember 2005 über die Ausländerinnen und Ausländer (AuG, SR 142.20) geltend.</w:t>
      </w:r>
    </w:p>
    <w:p>
      <w:r>
        <w:rPr>
          <w:b/>
        </w:rPr>
        <w:t>E. 7.1</w:t>
      </w:r>
    </w:p>
    <w:p>
      <w:r>
        <w:t>Gemäss Art. 83 Abs. 3 AuG ist der Vollzug der Wegweisung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des Beschwerdeführers und den Akten ergeben sich keine konkreten Anhaltspunkte dafür, dass er für den Fall einer Ausschaffung mit beachtlicher Wahrscheinlichkeit einer nach Art. 3 EMRK oder Art. 1 FoK verbotenen Strafe oder Behandlung ausgesetzt wäre. Der Vollzug der Wegweisung ist somit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nahm in BVGE 2011/24 eine umfassende Analyse der Situation in Sri Lanka vor. Dabei gelangte es zum Schluss, dass der Vollzug der Wegweisung in alle Landesteile Sri Lankas, insbesondere in den Grossraum Colomb,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w:t>
      </w:r>
    </w:p>
    <w:p>
      <w:r>
        <w:rPr>
          <w:b/>
        </w:rPr>
        <w:t>E. 7.2.2</w:t>
      </w:r>
    </w:p>
    <w:p>
      <w:r>
        <w:t>Der Beschwerdeführer stammt aus D._______, District Jaffna, Nordprovinz und damit nicht aus dem Vanni-Gebiet. Der Vollzug der Wegweisung dorthin ist daher grundsätzlich zumutbar. Sodann sind den Akten keine Anhaltspunkte zu entnehmen, wonach dem Beschwerdeführer aus individuellen Gründen eine Rückkehr in den Heimatstaat nicht zumutbar sein soll. Er lebte bis zu seiner Reise nach Colomob mit seiner Familie zusammen und besuchte während zehn Jahren die Schule. Demnach ist er mit seinem Land und der dortigen Tradition verwurzelt. Gemäss seinen Angaben leben seine Mutter, seine Schwester sowie weitere Verwandte nach wie vor am angegebenen Ort. Damit verfügt er an seinem Herkunftsort über ein bestehendes soziales Beziehungsnetz. Zwar hat der Beschwerdeführer keine Berufsausbildung. Indes hat er über mehrere Jahre Arbeitserfahrungen als Transporteur und C._______. Unter diesen Umständen ist anzunehmen, dass er sich bei einer Rückkehr sozial und beruflich wieder integrieren und eine neue Existenz aufbauen kann. Gemäss ständiger Praxis des Bundesverwaltungsgerichts stellen jedenfalls blosse sozi­ale und wirtschaftliche Schwierigkeiten keine existenzbedrohende Situation dar, die den Vollzug der Wegweisung als unzumutbar erscheinen liesse (vgl. statt vieler Urteil des Bundesverwaltungsgerichts E-699/2010 vom 28. August 2012). Der Vollzug der Wegweisung erweist sich als zumutbar.</w:t>
      </w:r>
    </w:p>
    <w:p>
      <w:r>
        <w:rPr>
          <w:b/>
        </w:rPr>
        <w:t>E. 7.3</w:t>
      </w:r>
    </w:p>
    <w:p>
      <w:r>
        <w:t>Der Beschwerdeführer ist im Besitze einer sri-lankischen Identitätskarte, weshalb der Vollzug der Wegweisung auch als möglich zu bezeichnen ist (Art. 83 Abs. 2 AuG).</w:t>
      </w:r>
    </w:p>
    <w:p>
      <w:r>
        <w:rPr>
          <w:b/>
        </w:rPr>
        <w:t>E. 8</w:t>
      </w:r>
    </w:p>
    <w:p>
      <w:r>
        <w:t>Aus diesen Erwägungen ergibt sich, dass die angefochtene Verfügung Bundesrecht nicht verletzt und auch sonst nicht zu beanstanden ist (Art. 106 AsylG). Die Beschwerde ist abzuweisen, soweit darauf eingetreten werden kann.</w:t>
      </w:r>
    </w:p>
    <w:p>
      <w:r>
        <w:rPr>
          <w:b/>
        </w:rPr>
        <w:t>E. 9</w:t>
      </w:r>
    </w:p>
    <w:p>
      <w:r>
        <w:t>Bei diesem Ausgang des Verfahrens sind die Kosten in der Höhe von insgesamt Fr. 600.- dem Beschwerdeführer aufzuerlegen und mit dem in gleicher Höhe geleisteten Kostenvorschuss zu verrechnen (Art. 63 Abs. 1 und 5 VwVG i.V.m. Art. 1 bis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