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E-6814/2014 vom 6. Januar 2015</w:t>
      </w:r>
    </w:p>
    <w:p>
      <w:r>
        <w:t>Bundesverwaltungsgericht, 2015-01-06, DE</w:t>
      </w:r>
    </w:p>
    <w:p>
      <w:r>
        <w:rPr>
          <w:b/>
        </w:rPr>
        <w:t xml:space="preserve">Quelle: </w:t>
      </w:r>
      <w:r>
        <w:t>https://mcp.opencaselaw.ch/entscheid/bvger_E-6814_2014</w:t>
      </w:r>
    </w:p>
    <w:p>
      <w:r>
        <w:t>FR: TAF E-6814/2014 du 6 janvier 2015</w:t>
      </w:r>
    </w:p>
    <w:p>
      <w:r>
        <w:t>IT: TAF E-6814/2014 del 6 gennaio 2015</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und unrichtige oder unvollständige Feststellung des rechtserheblichen Sachverhalts hin (Art. 106 Abs. 1 AsylG).</w:t>
      </w:r>
    </w:p>
    <w:p>
      <w:r>
        <w:rPr>
          <w:b/>
        </w:rPr>
        <w:t>E. 2.2</w:t>
      </w:r>
    </w:p>
    <w:p>
      <w:r>
        <w:t>Die Beschwerde richtet sich ausschliesslich gegen die Dispositivziffern 1 (Flüchtlingseigenschaft) und 2 (Asyl) der angefochtenen Verfügung; die übrigen Dispositivziffern sind nicht angefochten und bilden nicht Gegenstand des vorliegenden Beschwerdeverfahrens.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jüngeren Entscheid dargelegt und folgt dabei ständiger Praxis. Darauf kann hier verwiesen werden (vgl. BVGE 2010/57 E. 2.2 und 2.3).</w:t>
      </w:r>
    </w:p>
    <w:p>
      <w:r>
        <w:rPr>
          <w:b/>
        </w:rPr>
        <w:t>E. 4.1</w:t>
      </w:r>
    </w:p>
    <w:p>
      <w:r>
        <w:t>Die Vorinstanz hält in der angefochtenen Verfügung fest, dass die Vorbringen der Beschwerdeführerin weder den Anforderungen an die Glaubhaftigkeit gemäss Art. 7 AsylG noch denjenigen an die Flüchtlingseigenschaft gemäss Art. 3 AsylG genügten. Was die Ereignisse im Jahr 1993 in Äthiopien und die Schwierigkeiten im Sudan angeht, so bestreitet die Beschwerdeführerin in der Rechtsmitteleingabe deren fehlende Asylrelevanz ausdrücklich nicht. Was die Beschwerdeführerin dort indes gegen die Zweifel an ihrer Inhaftierung und eritreischen Staatsangehörigkeit vorbringt, vermag die vorinstanzlichen Erwägungen nicht zu entkräften. So ist es überhaupt unglaubhaft, dass die Beschwerdeführerin trotz ihrer zum einen in Eritrea politisch belasteten Familie und ihrer zum anderen familiär wie auch per Geburt dokumentierten äthiopischen Herkunft und der demzufolge virulenten - in der Rechtsmitteleingabe sogar zugegebenen - Gefahr, in Eritrea verhaftet zu werden, dorthin ausgereist sein soll. Der Vorinstanz ist ferner zuzustimmen, dass der Bericht ihrer Inhaftierung sowie Freilassung durch einen mitfühlenden Wärter nicht glaubhaft ist. Auch ist der Vorinstanz zuzustimmen, dass die Erteilung einer Ausreiseerlaubnis für den Vater nach dem Sudan - wo er der Beschwerdeführerin auf der eritreischen Botschaft zu einer Identitätskarte verholfen haben soll - insofern nicht überzeugen kann, als der Vater aufgrund der Inhaftierung seines politisch engagierten Cousins in Eritrea unter erhöhter Beobachtung stand. Dass infolge der herrschenden Willkür und der grossen Macht lokaler Militärkommandeure die Behördenpraxis nicht berechenbar sei, soll nicht in Abrede gestellt werden; die Beschwerdeführerin kann jedoch in Anbetracht der diversen Ungereimtheiten aus diesem Umstand in der Summe nichts für sich ableiten. Was die erst im Rechtsmittelverfahren vorgelegte eritreische Ausreiseerlaubnis des Vaters angeht, so stellt sich die Frage, weshalb sie diese erst jetzt und überhaupt vorlegen kann, hat sie in der Anhörung doch betont, mit dem Vater am Telefon nicht offen sprechen zu können (BFM-Akte A 11/19, S. 13). Auch in Bezug auf die im Rechtsmittelverfahren beigebrachte Identitätskarte muss der Vorinstanz zugestimmt werden, dass dieser sowohl angesichts des unglaubhaften Besuchs ihres Vaters im Sudan als auch ihrer nicht glaubhaft gemachten Ausreise - sowie der Verhaftung und Entlassung in Eritrea wegen - kaum Beweiswert zukommt, zumal der Vorinstanz offensichtlich aus anderen Fällen unrechtmässig ausgestellte Identitätskarten bekannt sind. Es ist zudem nicht nachvollziehbar, weshalb es der Beschwerdeführerin während des zweijährigen vorinstanzlichen Verfahrens nicht möglich war, die Identitätskarte zu besorgen - obwohl sie um deren Wichtigkeit wusste -, ihr dies aber nach der ablehnenden Verfügung innerhalb eines Monats gelang. Von einer Verletzung des Untersuchungsgrundsatzes kann unter diesen Umständen keine Rede sein, zumal die Beschwerdeführerin die Beweis- (Art. 7 AsylG) und Substanziierungslast trägt (Art. 8 AsylG).</w:t>
      </w:r>
    </w:p>
    <w:p>
      <w:r>
        <w:rPr>
          <w:b/>
        </w:rPr>
        <w:t>E. 4.2</w:t>
      </w:r>
    </w:p>
    <w:p>
      <w:r>
        <w:t>Da die Beschwerdeführerin weder ihre Verhaftung und Flucht aus Eritrea noch ihre eritreische Staatsbürgerschaft glaubhaft machen konnte, sind auch keine subjektiven Nachfluchtgründe ersichtlich. Vielmehr ist mit der Vorinstanz einig zu gehen, dass wesentliche Anhaltspunkte für einen gefestigten äthiopischen Aufenthaltstitel der Beschwerdeführerin sprechen. Es kann hierzu auf die Erwägungen in der angefochtenen Verfügung verwiesen werden. In Äthiopien leben auch die meisten der Beschwerdeführerin bekannten Familienmitglieder.</w:t>
      </w:r>
    </w:p>
    <w:p>
      <w:r>
        <w:rPr>
          <w:b/>
        </w:rPr>
        <w:t>E. 4.3</w:t>
      </w:r>
    </w:p>
    <w:p>
      <w:r>
        <w:t>Zusammenfassend hat die Beschwerdeführerin in der Rechtsmitteleingabe nichts vorgebracht, was der vorinstanzlichen Beweiswürdigung die Grundlage entziehen würde und geeignet wäre, die Flüchtlingseigenschaft nachzuweisen oder glaubhaft zu machen. Die neuen Beweismittel vermögen daran nichts zu ändern. Damit hat die Beschwerdeführerin insbesondere nicht aufgezeigt, inwiefern die angefochtene Verfügung Bundesrecht verletzt oder sonst zu beanstanden wäre (Art. 106 Abs. 1 AsylG), weshalb die Vorinstanz das Asylgesuch zu Recht abgelehnt hat. Die Beschwerde ist abzuweisen.</w:t>
      </w:r>
    </w:p>
    <w:p>
      <w:r>
        <w:rPr>
          <w:b/>
        </w:rPr>
        <w:t>E. 5.1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5.2</w:t>
      </w:r>
    </w:p>
    <w:p>
      <w:r>
        <w:t>Bei diesem Ausgang des Verfahrens sind die Kosten von Fr. 600.- (Art. 1-3 des Reglements vom 21. Februar 2008 über die Kosten und Entschädigungen vor dem Bundesverwaltungsgericht [VGKE], SR 173.320.2) der Beschwerdeführerin aufzuerlegen (Art. 63 Abs. 1 VwVG). Mit dem Urteil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