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E-680/2014 vom 19. Februar 2014</w:t>
      </w:r>
    </w:p>
    <w:p>
      <w:r>
        <w:t>Bundesverwaltungsgericht, 2014-02-19, DE</w:t>
      </w:r>
    </w:p>
    <w:p>
      <w:r>
        <w:rPr>
          <w:b/>
        </w:rPr>
        <w:t xml:space="preserve">Quelle: </w:t>
      </w:r>
      <w:r>
        <w:t>https://mcp.opencaselaw.ch/entscheid/bvger_E-680_2014</w:t>
      </w:r>
    </w:p>
    <w:p>
      <w:r>
        <w:t>FR: TAF E-680/2014 du 19 février 2014</w:t>
      </w:r>
    </w:p>
    <w:p>
      <w:r>
        <w:t>IT: TAF E-680/2014 del 19 febbraio 2014</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Basel 2013, 2. Auf. Rz. 2.112, S. 76), ist zugunsten des Beschwerdeführers davon auszugehen, dass die am 10. Februar 2014 beim der Schweizerischen Botschaft eingegangene Beschwerde rechtzeitig erfolgt ist. Der Beschwerdeführer ist als Verfügungsadressat zur Beschwerdeführung legitimiert (Art. 48 VwVG). Auf die form- und fristgerecht eingereichte Beschwerde (Art. 52 Abs. 1 VwVG und Art. 108 Abs. 1 AsylG)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w:t>
      </w:r>
    </w:p>
    <w:p>
      <w:r>
        <w:t>In der Rechtsmitteleingabe wird beantragt, aufgrund Zeitmangels des Rechtsvertreters sei eine Frist zur Verbesserung und Präzisierung der Beschwerde anzusetzen. Dass der Beschwerdeführer seinen Rechtsvertreter erst am 7. Februar 2014 mandatiert hat und diesem daher nicht genügend Zeit zum Verfassen der Beschwerdeschrift zur Verfügung stand, hat er sich anrechnen zu lassen. Sodann geht aus der Rechtsmitteleingabe hinreichend hervor, dass der Beschwerdeführer mit den vorinstanzlichen Erwägungen in der angefochtenen Verfügung nicht einverstanden ist. Der Antrag auf Ansetzung einer Frist zur Beschwerdeverbesserung ist abzuweisen.</w:t>
      </w:r>
    </w:p>
    <w:p>
      <w:r>
        <w:rPr>
          <w:b/>
        </w:rPr>
        <w:t>E. 5.1</w:t>
      </w:r>
    </w:p>
    <w:p>
      <w:r>
        <w:t>Ein Asylgesuch kann gemäss Art. 19 Abs. 1 aAsylG im Ausland bei einer Schweizerischen Vertretung gestellt werden, die es mit einem Bericht an das Bundesamt überweist (Art. 20 Abs. 1 aAsylG).</w:t>
      </w:r>
    </w:p>
    <w:p>
      <w:r>
        <w:rPr>
          <w:b/>
        </w:rPr>
        <w:t>E. 5.2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w:t>
      </w:r>
    </w:p>
    <w:p>
      <w:r>
        <w:rPr>
          <w:b/>
        </w:rPr>
        <w:t>E. 6.1</w:t>
      </w:r>
    </w:p>
    <w:p>
      <w:r>
        <w:t>Die Vorinstanz stellt in der angefochtenen Verfügung fest, der Beschwerdeführer weise kein Gefährdungsprofil auf, welches im heutigen Zeitpunkt mit erheblicher Wahrscheinlichkeit auf eine Verfolgung seitens des sri-lankischen Staates schliessen liesse. Aufgrund der geltend gemachten Vorfälle zwischen April 2008 und März 2011 sei verständlich, dass sich der Beschwerdeführer vor Verfolgungsmassnahmen fürchte. Die Inhaftierung sei indes im Zusammenhang mit den "Emergency Regulations" erfolgt, welche den sri-lankischen Sicherheitskräfte erlaubt habe, verdächtige Personen ohne Anklage für längere Zeit in Haft zu nehmen. Der Beschwerdeführer sei jedoch freigelassen worden. Dies belege, dass er keiner strafrechtlich relevanten Tätigkeiten mehr verdächtigt werde, mithin keine strafrechtliche Verfolgungsmassnahmen mehr zu befürchten habe. Seit Juli 2011 habe er denn auch keine Schwierigkeiten mehr gelten gemacht. Seine Vorbringen seien somit nicht einreisebeachtlich.</w:t>
      </w:r>
    </w:p>
    <w:p>
      <w:r>
        <w:rPr>
          <w:b/>
        </w:rPr>
        <w:t>E. 6.2</w:t>
      </w:r>
    </w:p>
    <w:p>
      <w:r>
        <w:t>In der Rechtsmitteleingabe wird geltend gemacht, die Inhaftierung vom 9. August 2009 bis 2. März 2011 sei ohne Grund erfolgt und damit asylrechtlich relevant. Das Bundesverwaltungsgericht wie auch das BFM anerkennen,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entgegen der Ansicht des Beschwerdeführers wesentlich verändert. Einer erhöhten Verfolgungsgefahr sehen sich heute Personen ausgesetzt, die einer bestimmten Risikogruppe angehören (vgl. dazu im Einzelnen BVGE 2011/24). Der Beschwerdeführer gehört keiner dieser Gruppen an. Sodann ist festzustellen, dass er ohne Auflage freigelassen wurde und für die Zeit danach einzig ein Vorsprechen bei der Polizei anführt, welches offenbar ohne Folgen geblieben ist. Soweit in der Rechtsmitteleingabe geltend gemacht wird, die Vorinstanz habe es vor ihrem Entscheid unterlassen, weitere Abklärungen betreffend die aktuelle Verfolgungssituation zu tätigen, so hätte es dem Beschwerdeführer im Rahmen seiner Mitwirkungspflicht (Art. 8 Abs. 1 AsylG) oblegen, allfällige Benachteiligungen jederzeit geltend zu machen. Entsprechendes hat er nicht getan, und auch in der Rechtsmitteleingabe bringt er keine neuen Benachteiligungen vor. Darüber hinaus macht er in der Beschwerdeschrift auch nicht geltend, solches sei ihm nicht möglich oder zumutbar gewesen. Weitergehend äussert sich der Beschwerdeführer in der Rechtsmitteleingabe unter dem Titel "Sri-lankische Realität oder helvetische Fiktion?" zur allgemeinen Lage in Sri Lanka. Diese Ausführungen sind indes unerheblich und nicht geeignet, eine Verletzung von Bundesrecht darzutun. Insgesamt ist dem Beschwerdeführer ein weiterer Verbleib in Sri Lanka zumutbar und er ist auf den Schutz der Schweiz nicht angewiesen. Die Vorinstanz hat demnach dem Beschwerdeführer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Damit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