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E-6802/2014 vom 5. Dezember 2014</w:t>
      </w:r>
    </w:p>
    <w:p>
      <w:r>
        <w:t>Bundesverwaltungsgericht, 2014-12-05, DE</w:t>
      </w:r>
    </w:p>
    <w:p>
      <w:r>
        <w:rPr>
          <w:b/>
        </w:rPr>
        <w:t xml:space="preserve">Quelle: </w:t>
      </w:r>
      <w:r>
        <w:t>https://mcp.opencaselaw.ch/entscheid/bvger_E-6802_2014</w:t>
      </w:r>
    </w:p>
    <w:p>
      <w:r>
        <w:t>FR: TAF E-6802/2014 du 5 décembre 2014</w:t>
      </w:r>
    </w:p>
    <w:p>
      <w:r>
        <w:t>IT: TAF E-6802/2014 del 5 dicembre 2014</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Vorliegend sind die Voraussetzungen für einen Entscheid mit einer Beschwerdefrist gemäss Art. 108 Abs. 2 AsylG in der seit dem 29. September 2012 geltenden Fassung erfüllt: Der Beschwerdeführer ist Staatsangehöriger von Kosovo. Der Bundesrat bezeichnete Kosovo mit Beschluss vom 6. März 2009 als verfolgungssicheren Staat (Safe Country) im Sinne von Art. 6a Abs. 2 Bst. a AsylG und ist auf diese Einschätzung im Rahmen der periodischen Überprüfung (vgl. Art. 6a Abs. 3 AsylG) bisher nicht zurückgekommen. Zudem ist das BFM aufgrund der vollständigen und richtigen Feststellung des Sachverhalts zu Recht davon ausgegangen, dass das Verfahren nach der Anhörung ohne weitere Abklärungen spruchreif war.</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begründete seinen ablehnenden Entscheid damit, die Vorbringen des Beschwerdeführers vermöchten einerseits den Anforderungen an die Glaubhaftigkeit und andererseits denjenigen an die Flüchtlingseigenschaft nicht zu genügen. Einerseits sei in Bezug auf die fehlende Glaubhaftigkeit zunächst anzumerken, dass der Ausgangspunkt der befürchteten Blutrache die vom Beschwerdeführer an D. verübte Schussverletzung und unerheblich sei, weshalb es zu dieser Schussverletzung gekommen sei. Festzuhalten sei, dass Fälle von glaubhafter Blutrache erfahrungsgemäss selten seien und eher den Süden von Kosovo betreffen würden. Die an D. verübte Schussverletzung könne bestenfalls einen Racheakt ausserhalb der klassischen Regeln des Kanun (mündlich überliefertes altes Gewohnheitsrecht der Albaner) ausgelöst haben, weil dieser für die klassische Blutrache eine Tötung voraussetze und in erster Linie der Beschwerdeführer und nicht seine Familie das Ziel wäre. Hinzu komme, dass der Beschwerdeführer widersprüchliche Aussagen zu seinem Aufenthaltsort in der Zeit von (...) (Rückführung nach Kosovo) bis zu seiner Ausreise in die Schweiz im (...) gemacht habe, indem er bei der BzP ausgesagt habe, er habe sich in (...) bei (...) vor der gegnerischen Familie versteckt, und bei der Anhörung diesbezüglich zu Protokoll gegeben habe, seine Familie habe ihn nach seiner Ankunft in Kosovo in ein Versteck im (...) oder (...) Kilometer von C._______ entfernten Dorf (...) gebracht. Zudem sei nicht einzusehen, weshalb die verfeindete Familie Versöhnungsverhandlungen von der Ausreise des Beschwerdeführers hätte abhängig machen sollen, und es könne auch nicht geglaubt werden, dass ihn sein als Vermittler fungierender und angeblich als (...) bekannter Bruder dazu überredet habe. Andererseits vermöchten die Vorbringen auch den Anforderungen an die Flüchtlingseigenschaft nicht standzuhalten, weil sich daraus abgesehen davon, dass solche Auseinandersetzungen häufig mittels Geldzahlungen beigelegt werden könnten, keine Hinweise ergäben, dass der Beschwerdeführer in Kosovo in asylrelevanter Weise verfolgt werde.</w:t>
      </w:r>
    </w:p>
    <w:p>
      <w:r>
        <w:rPr>
          <w:b/>
        </w:rPr>
        <w:t>E. 6.2</w:t>
      </w:r>
    </w:p>
    <w:p>
      <w:r>
        <w:t>In seiner Beschwerde führte der Beschwerdeführer aus, es treffe nicht zu, dass die klassische Blutrache nach dem Kanun ausschliesslich die Folge einer Tötung sei. Er habe zwei Personen Schussverletzungen zugefügt und damit in den Augen der Familie von D. eine versuchte Tötung begangen. Die Familie wolle Blutrache an ihm nehmen, weil sie davon ausgehe, dass er die zwei Männer habe töten wollen. (...) Brüder von D. seien vor etwa (...) nach Kosovo zurückgekehrt. Sie hätten gemeinsam entschieden, was mit ihm passieren werde. Das Versöhnungsangebot habe sein Bruder erwirkt, der über eine dritte Familie mit der ihm feindlich gesinnten Familie gesprochen habe. Sein Bruder sei ein (...). Bedingung für eine Versöhnung sei gewesen, dass er das Land verlasse. Ihm sei nichts anderes übriggeblieben, als zu gehorchen und aus Kosovo auszureisen, um sich und seine Familie zu schützen. Es falle ihm extrem schwer, ohne seine Frau und das gemeinsame Kind zu leben. Dennoch sei ihm nur diese Möglichkeit geblieben. Im Falle einer Rückkehr sei davon auszugehen, dass er innert kürzester Zeit getötet würde, weil er sich nicht an die Abmachung halten würde. Die gegnerische Familie räche sich nur deshalb nicht an seiner Familie, weil er der Aufforderung, das Land zu verlassen, nachgekommen sei. Die Bedrohungslage sei sehr wohl asylrelevant. Er werde von Dritten bedroht, und die Behörden seines Heimatlandes würden ihn nicht schützen. Seit (...) an der Macht sei, habe er keine Ruhe mehr. Aufgrund seiner Vergangenheit bei (...) werde er bis heute als Gegner der Regierung und des Staates betrachtet. Er möchte nichts lieber, als bei seiner Familie in Kosovo zu sein, aber er sei gezwungen gewesen, das Land zu verlassen. Er bitte darum, ihm die Flüchtlingseigenschaft zuzuerkennen und ihm Asyl zu gewähren, oder ihn wegen Unzumutbarkeit des Wegweisungsvollzugs in der Schweiz vorläufig aufzunehmen.</w:t>
      </w:r>
    </w:p>
    <w:p>
      <w:r>
        <w:rPr>
          <w:b/>
        </w:rPr>
        <w:t>E. 7.1</w:t>
      </w:r>
    </w:p>
    <w:p>
      <w:r>
        <w:t>Obwohl auch für das Bundesverwaltungsgericht nicht zuletzt aufgrund der widersprüchlichen Aussagen des Beschwerdeführers zu seinem Aufenthaltsort respektive Versteck in Kosovo gewichtige Zweifel an der Authentizität seiner Vorbringen bestehen, kann nicht gänzlich ausgeschlossen werden, dass ihm in seinem Heimatland Blutrache nach dem kosovoalbanischen Gewohnheitsrecht (Kanun) drohen könnte. Die Frage der Glaubhaftigkeit der Sachverhaltsdarstellung kann indessen in Berücksichtigung der nachstehenden Erwägungen vorliegend offen gelassen werden.</w:t>
      </w:r>
    </w:p>
    <w:p>
      <w:r>
        <w:rPr>
          <w:b/>
        </w:rPr>
        <w:t>E. 7.2</w:t>
      </w:r>
    </w:p>
    <w:p>
      <w:r>
        <w:t>Die Vorinstanz ist im Ergebnis zu Recht auch davon ausgegangen, dass die Vorbringen des Beschwerdeführers den Anforderungen an die Flüchtlingseigenschaft nicht zu genügen vermögen. Der Beschwerdeführer macht von Privatpersonen ausgehende Verfolgungsmassnahmen geltend. Damit handelt es sich nicht um eine asylrechtliche Verfolgung im Sinn von Art. 3 Abs. 1 AsylG, welche die Flüchtlingseigenschaft zu begründen vermöchte. Einerseits fehlt es bei einer privaten Blutfehde am Erfordernis der flüchtlingsrechtlich relevanten Verfolgungsmotivation, weil diese nicht aus einem in Art. 3 Abs. 1 AsylG genannten Grund erfolgt. Andererseits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S. 173 ff., 2008/4 E. 5.2 S. 37 f.).</w:t>
      </w:r>
    </w:p>
    <w:p>
      <w:r>
        <w:rPr>
          <w:b/>
        </w:rPr>
        <w:t>E. 7.3</w:t>
      </w:r>
    </w:p>
    <w:p>
      <w:r>
        <w:t>Wie bereits in Erwägung 3. vorstehend ausgeführt, hat der Bundesrat Kosovo mit Beschluss vom 6. März 2009 als verfolgungssicherer Staat (Safe Country) eingestuft. Gemäss aktueller Rechtsprechung des Bundesverwaltungsgerichts gehen die zuständigen Behörden in Kosovo im Rahmen ihrer Möglichkeiten konsequent gegen Bedrohungen und Übergriffe durch Privatpersonen vor. Insofern ist vom Schutzwillen und von der weitgehenden Schutzfähigkeit der Sicherheitsbehörden auszugehen (vgl. Urteile des Bundesverwaltungsgerichts D 2562/2013 vom 16. Mai 2013 E. 4.1 f. mit Hinweis auf BVGE 2011/50 E. 4.7, und E-5031/2014 vom 4. Juni 2014 E. 7.3). Die Antwort des Beschwerdeführers auf die Frage bei der Anhörung, weshalb er die Behörden nicht um Schutz gebeten habe, bei der Behörde respektive der Polizei gebe es keinen Schutz, weil die Mafia überall mitspiele (Akten A15/16 S. 12 Frage 128), ist jedenfalls nicht geeignet, den Schutzwillen der Sicherheitsbehörden grundsätzlich in Frage zu stellen. Es kann davon ausgegangen werden, dass sich die Behörden auch im Falle des Beschwerdeführers ihren Möglichkeiten entsprechend für seinen Schutz eingesetzt hätten. Hinsichtlich des Vorbringens in der Beschwerde, er habe keine Ruhe, seit (...) an der Macht sei, und er werde wegen seiner Vergangenheit bei (...) als Regierungsgegner betrachtet, ist nicht nachvollziehbar, inwiefern er aufgrund seiner Jahre zurückliegenden (...) für (...) heute noch in Kosovo einer asylrechtlich relevanten Gefährdung ausgesetzt sein sollte, zumal er angegeben hatte, auch (...) (...) geliefert zu haben (vgl. A15/16 S. 10 Frage 105).</w:t>
      </w:r>
    </w:p>
    <w:p>
      <w:r>
        <w:rPr>
          <w:b/>
        </w:rPr>
        <w:t>E. 7.4</w:t>
      </w:r>
    </w:p>
    <w:p>
      <w:r>
        <w:t>Angesichts dieser Sachlage ergibt sich, dass die Vorbringen des Beschwerdeführers den Anforderungen an die Asylrelevanz nicht standzuhalten vermögen. Die Vorinstanz hat die Flüchtlingseigenschaft des Beschwerdeführers zu Recht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Im Zusammenhang mit der geltend gemachten Blutrache ist zu prüfen, ob der Beschwerdeführer im Falle einer Ausschaffung in den Heimatstaat mit beachtlicher Wahrscheinlichkeit einer nach Art. 3 EMRK respektive Art. 3 FoK verbotene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124 127, m.w.H.).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(vgl. EMARK 2004 Nr. 14 E. 5b und 1996 Nr. 18 S. 182 ff.). Hinsichtlich der geschützten Rechtsgüter ist der Anwendungsbereich von Art. 3 EMRK enger als derjenige des flüchtlingsrechtlichen Non-Refoulement-Prinzips, zumal er nur den Schutz vor drohender Folter, unmenschlicher Behandlung oder Strafe und anderen schwerwiegenden Verletzungen der körperlichen oder psychischen Integrität einer Person sowie unmenschliche Strafen als Folge gemeinrechtlicher Delikte umfasst.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"konkrete und ernsthafte Gefahr" besteht, dass die betroffene Person eine schwere Menschenrechtsverletzung erleiden wird (vgl. Urteil Saadi gegen Italien, a.a.O.; EMARK 1996 Nr. 18 S. 186 f.). Der Gerichtshof hielt hierzu fest, die blosse Möglichkeit einer Misshandlung führe nicht zur Verletzung von Art. 3 EMRK. Es müssten stichhaltige Gründe für die Annahme vorliegen, dass die betroffene Person im Fall einer Auslieferung einem realen Risiko ausgesetzt sei, im betreffenden Staat Folter, unmenschlicher Behandlung oder Strafe unterworfen zu sein (vgl. Urteil des EGMR Soering gegen Vereinigtes Königreich vom 7. Juli 1989, 14038/88; seither ständige Praxis; vgl. zum Ganzen Urteil des Bundesverwaltungsgerichts E-7121/2013 E. 7.4.1).</w:t>
      </w:r>
    </w:p>
    <w:p>
      <w:r>
        <w:rPr>
          <w:b/>
        </w:rPr>
        <w:t>E. 9.2.4</w:t>
      </w:r>
    </w:p>
    <w:p>
      <w:r>
        <w:t>Vorliegend hat der Beschwerdeführer - wie bereits in Erwägung 7. ausgeführt - die Möglichkeit, sich bei einer allfälligen Art. 3 EMRK zuwiderlaufenden Nachstellung seitens Dritter an die staatlichen Behörden zu wenden, welche als schutzfähig und schutzwillig gelten. Im Übrigen kann er durch innerstaatliche Schutzalternativen in anderen Landesteilen Zuflucht und Schutz finden. Von einer innerstaatlichen Schutzalternative ist grundsätzlich immer dann auszugehen, wenn eine Person nur in einem Teil oder in begrenzten Teilen des Heimatlandes ernsthaften Nachteilen durch Dritte im Sinne von Art. 3 EMRK ausgesetzt ist oder solche Nachteile zu befürchten hat und in anderen Landesteilen Zuflucht und Schutz finden kann. Demnach ist das Vorliegen einer genügend konkreten und ernsthaften Gefahr zu verneinen, dass sich die Blutrache mit hinreichender Wahrscheinlichkeit realisieren wird. Dem Beschwerdeführer steht es offen, durch Verlegung seines Wohnsitzes einer allfällig drohenden Gefahr für Leib und Leben zu entgehen. Er ist somit bei einer Rückkehr in sein Heimatland keinem realen Risiko einer Verletzung von Art. 3 EMRK ausgesetzt.</w:t>
      </w:r>
    </w:p>
    <w:p>
      <w:r>
        <w:rPr>
          <w:b/>
        </w:rPr>
        <w:t>E. 9.2.5</w:t>
      </w:r>
    </w:p>
    <w:p>
      <w:r>
        <w:t>Folglich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9.3.2.1</w:t>
      </w:r>
    </w:p>
    <w:p>
      <w:r>
        <w:t>Die allgemeine Lage in Kosovo ist weder von Krieg noch von allgemeiner Gewalt gekennzeichnet, aufgrund derer die Bevölkerung konkret gefährdet wäre und eine Rückführung dorthin als generell unzumutbar betrachtet werden müsste (vgl. BVGE 2011/50). Zudem hat der Bundesrat dieses Land - wie bereits ausgeführt - zum verfolgungssicheren Herkunftsstaat im Sinne von Art. 6a Abs. 2 Bst. a AsylG erklärt.</w:t>
      </w:r>
    </w:p>
    <w:p>
      <w:r>
        <w:rPr>
          <w:b/>
        </w:rPr>
        <w:t>E. 9.3.2.2</w:t>
      </w:r>
    </w:p>
    <w:p>
      <w:r>
        <w:t>Vorliegend sind auch keine individuellen Gründe ersichtlich, welche die Rückkehr des Beschwerdeführers als unzumutbar erscheinen lassen würden, zumal er in Kosovo über ein tragfähiges verwandtschaftliches Beziehungsnetz verfügt (vgl. Akten BFM A11/12 S. 3 und 5), das ihn bereits vor seiner Einreise in die Schweiz unterstützt hat. Des Weiteren sprechen auch keine medizinischen Gründe gegen die Zumutbarkeit des Wegweisungsvollzugs, weil davon auszugehen ist, dass die vom Beschwerdeführer auf entsprechende Aufforderung hin bei der BzP angeführten, nicht näher spezifizierten gesundheitlichen Probleme (vgl. A11/12 S. 8) gegebenenfalls auch in Kosovo behandelt werden können.</w:t>
      </w:r>
    </w:p>
    <w:p>
      <w:r>
        <w:rPr>
          <w:b/>
        </w:rPr>
        <w:t>E. 9.3.2.3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dem Entscheid in der Sache ohne vorgängige Instruktion wird der Antrag auf Verzicht auf die Erhebung eines Kostenvorschusses hinfällig.</w:t>
      </w:r>
    </w:p>
    <w:p>
      <w:r>
        <w:rPr>
          <w:b/>
        </w:rPr>
        <w:t>E. 12.1</w:t>
      </w:r>
    </w:p>
    <w:p>
      <w:r>
        <w:t>Die Rechtsbegehren erweisen sich als aussichtslos im Sinne von Art. 65 Abs. 1 VwVG, weil sich die Beschwerdebegründung im Wesentlichen darin erschöpft, die Authentizität der mündlichen Aussagen zur Begründung des Asylgesuchs zu bekräftigen, ohne indessen in substanziierter und vollständiger Weise zu den Erwägungen der Vorinstanz Stellung zu nehmen. Die Anträge auf Gewährung der unentgeltlichen Prozessführung (Art. 65 Abs. 1 VwVG) und auf unentgeltliche Rechtsverbeiständung (Art. 110a AsylG) sind deshalb unbesehen einer allenfalls bestehenden prozessualen Bedürftigkeit abzuweisen.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