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E-6801/2015 vom 30. Oktober 2015</w:t>
      </w:r>
    </w:p>
    <w:p>
      <w:r>
        <w:t>Bundesverwaltungsgericht, 2015-10-30, DE</w:t>
      </w:r>
    </w:p>
    <w:p>
      <w:r>
        <w:rPr>
          <w:b/>
        </w:rPr>
        <w:t xml:space="preserve">Quelle: </w:t>
      </w:r>
      <w:r>
        <w:t>https://mcp.opencaselaw.ch/entscheid/bvger_E-6801_2015</w:t>
      </w:r>
    </w:p>
    <w:p>
      <w:r>
        <w:t>FR: TAF E-6801/2015 du 30 octobre 2015</w:t>
      </w:r>
    </w:p>
    <w:p>
      <w:r>
        <w:t>IT: TAF E-6801/2015 del 30 ottobre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Folglich ist auf den Antrag auf Verschaffung eines Bleiberechts nicht einzutreten.</w:t>
      </w:r>
    </w:p>
    <w:p>
      <w:r>
        <w:rPr>
          <w:b/>
        </w:rPr>
        <w:t>E. 1.4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Nach Art. 18 Abs. 1 Bst. a Dublin-III-VO ist der zuständige Mitgliedstaat verpflichtet, einen Antragsteller, der während der Prüfung seines Antrags in einem anderen Mitgliedstaat einen Antrag gestellt hat, nach Massgabe der Art. 21, 22 und 29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den Umständen, dass der Beschwerdeführer am (...) Juni 2015 in Italien registriert worden ist und Italien zum Übernahmeersuchen des SEM vom 12. August 2015 innerhalb der festgelegten Frist nicht Stellung bezogen hat, sei die Zuständigkeit zur Durchführung des Asyl- und Wegweisungsverfahrens an Italien übergegangen. Folglich sei auf das Asylgesuch nicht einzutreten, weil er nach Italien ausreisen könne, welches für die Durchführung des Asyl- und Wegweisungsverfahrens gestützt auf Art. 13 Abs. 1 Dublin-III-VO zuständig sei (Art. 31a Abs. 1 Bst. b AsylG). Die Abwägung aller Anhaltspunkte für und gegen das angegebene Alter lasse aufgrund der bisherigen Praxis auf einen mündigen Beschwerdeführer schliessen. Es würden keine konkreten Anhaltspunkte dafür vorliegen, dass Italien sich nicht an die völkerrechtlichen Verpflichtungen halten und das Asyl- und Wegweisungsverfahren nicht korrekt durchführen werde.</w:t>
      </w:r>
    </w:p>
    <w:p>
      <w:r>
        <w:rPr>
          <w:b/>
        </w:rPr>
        <w:t>E. 3.2</w:t>
      </w:r>
    </w:p>
    <w:p>
      <w:r>
        <w:t>Der Beschwerdeführer hielt der vorinstanzlichen Beurteilung in seiner Rechtsschrift im Wesentlichen folgende Argumente entgegen: (1) Sein Alter sei unbekannt mangels Papieren. Es sei durchaus möglich, dass er minderjährig sei. Er sei Vollwaise (vgl. Beschwerde S. 1 Ziff. 1). (2) Es gebe keine Garantie in Italien vor einer Ausschaffung in sein Heimatland, wo er an Leib und Leben bedroht sei (vgl. Beschwerde S. 1f.) (3) Die generelle Situation der Flüchtlinge in Italien sei katastrophal, weil das Land mit ihnen überfordert sei. Man sei sich selber überlassen, müsse auf Bahnhöfen übernachten und erhalte keine Unterstützungsleistungen (vgl. Beschwerde S. 1). (4) Er sei ein mehrfach traumatisierter Jüngling. Er benötige Sicherheit und entsprechende Unterstützung. Er dürfe aus medizinisch-psychiatrischen und aus humanitären Gründen nicht nach Italien zurückkehren (vgl. ärztlicher Bericht vom 26. Oktober 2015). Dieser Einschätzung des Beschwerdeführers kann aus nachfolgenden Gründen nicht zugestimmt werden.</w:t>
      </w:r>
    </w:p>
    <w:p>
      <w:r>
        <w:rPr>
          <w:b/>
        </w:rPr>
        <w:t>E. 3.3.1</w:t>
      </w:r>
    </w:p>
    <w:p>
      <w:r>
        <w:t>Was die Behauptung des Beschwerdeführers betrifft, wonach er ein unbegleiteter Minderjähriger sein könnte, ist anzufügen, dass SEM und Gericht bis heute keine rechtsgenüglichen Identitätspapiere erhalten haben. Zudem hat er selber von sich behauptet, sein genaues Alter nicht zu kennen und in der Folge nichts unternommen, um das angebliche Kindesalter glaubhaft zu machen. Ausserdem deutet sein Erscheinungsbild (Passfoto) auf ein höheres als das angegebene Alter. Weiter sind die Möglichkeiten der Asylbehörden, im Rahmen des Untersuchungsgrundsatzes (vgl. Art. 12 VwVG) das tatsächliche Alter eines Asylbewerbers zu ermitteln, eingeschränkt. In diesem Rahmen ist das SEM seiner Pflicht zur Ermittlung des massgeblichen Sachverhalts nachgekommen, indem es eine Knochenaltersanalyse durchgeführt hat. Diese hat keine Hinweise auf eine Minderjährigkeit, sondern im Gegenteil die Volljährigkeit des Beschwerdeführers als wahrscheinlich ergeben. Aufgrund der aktuellen Aktenlage und Praxis durfte demnach das SEM von der Volljährigkeit des Beschwerdeführers ausgehen (vgl. dazu auch EMARK 2001 Nr. 23 E. 6). Daran ändert auch ein Arztbericht nichts, der ihn als Jüngling bezeichnet. Damit gehört der Beschwerdeführer nicht zur Gruppe der verletzlichen Personen der unbegleiteten Minderjährigen. Die Verfahrensbestimmungen, völkerrechtlichen Schutzmassnahmen und Garantien für minderjährige Asylsuchende finden somit keine Anwendung (vgl. dazu BVGE 2011 Nr. 23 E. 5.3.1 ff.).</w:t>
      </w:r>
    </w:p>
    <w:p>
      <w:r>
        <w:rPr>
          <w:b/>
        </w:rPr>
        <w:t>E. 3.3.2</w:t>
      </w:r>
    </w:p>
    <w:p>
      <w:r>
        <w:t>Die Vorinstanz hat demnach den Nichteintretensentscheid mit Art. 31a Abs. 1 Bst. b AsylG auf die richtige Rechtsgrundlage abgestützt. In diesem Kontext ist anzufügen, dass die zuständigen italienischen Behörden nach der fristgerechten Anfrage des SEM mit der Nichtbeantwortung des Übernahmeersuchens innert der in der Dublin-III-VO vorgesehenen Frist (sog. Verfristung) die Zuständigkeit Italiens implizit anerkannt haben. Damit ist die grundsätzliche Zuständigkeit Italiens für die Durchführung des Asyl- und Wegweisungsverfahrens gegeben. Die unter Ziff. 3.2 angeführten Gründe vermögen an der grundsätzlichen Zuständigkeit Italiens für das Asylgesuch somit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Beschwerdeführer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obige Ansicht wird durch den Europäischen Gerichtshof für Menschenrechte (EGMR) bestätigt, indem dieser in seiner bisherigen Rechtssprechung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Auch das Urteil des EGMR Tarakhel gegen Schweiz (Appl. No. 29217/12) vom 4. November 2014 führt nicht zu einer wesentlich anderen Einschätzung. Der Beschwerdeführer brachte in der Beschwerde nichts Erhebliches dagegen vor. Bezüglich der im ärztlichen Bericht geltend gemachten gesundheitlichen Probleme ist keine akute Gefährdung des Beschwerdeführers erkennbar. Die geltend gemachten Traumatisierungen stellen keine erheblichen Vollzugshindernisse in Bezug auf eine Rückführung des Beschwerdeführers nach Italien dar, denn Italien verfügt über ein funktionierendes Gesundheitssystem mit entsprechenden Facheinrichtungen und Personal. Es liegen auch keine weiteren Hinweise auf spezifische Beeinträchtigungen physischer und psychischer Art vor, die seiner Überstellung nach Italien (vgl. dazu Urteil des EGMR N. gegen Vereinigtes Königreich [Appl. No. 26565/05] vom 27. Mai 2008; Urteil des EGMR A.S. gegen Schweiz [Appl. No. 39350/13] vom 30. Juni 2015; vgl. dazu auch BVGE 2009/2) entgegenstehen könnten. Hingegen haben die Vollzugsbehörden sicherzustellen, dass die italienischen Behörden vor der Ankunft des Beschwerdeführers über dessen gesundheitlichen Einschränkungen orientiert werden, damit Italien in geeigneter Weise seinen Bedürfnissen Rechnung tragen kann (vgl. Art 32 Dublin-III-VO). Weiter hat der Beschwerdeführer kein Asylgesuch in Italien gestellt und kann daher nicht aus persönlichen Erfahrungen darüber berichten. Unter diesen Umständen ist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dargelegt, weshalb es auf einen Selbsteintritt aus humanitären Gründen verzichtet hat. Der Vorinstanz kann dabei keine gesetzeswidrige Ermessensausübung (vgl. Art. 106 Abs. 1 Bst. a AsylG) vorgehalten werden. Unter diesen Umständen erübrigen sich weitere Ausführungen zur Frage des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soweit darauf einzutreten ist, und die vorinstanzliche Verfügung zu bestätigen.</w:t>
      </w:r>
    </w:p>
    <w:p>
      <w:r>
        <w:rPr>
          <w:b/>
        </w:rPr>
        <w:t>E. 7</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