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E-6797/2009 vom 12. November 2009</w:t>
      </w:r>
    </w:p>
    <w:p>
      <w:r>
        <w:t>Bundesverwaltungsgericht, 2009-11-12, FR</w:t>
      </w:r>
    </w:p>
    <w:p>
      <w:r>
        <w:rPr>
          <w:b/>
        </w:rPr>
        <w:t xml:space="preserve">Quelle: </w:t>
      </w:r>
      <w:r>
        <w:t>https://mcp.opencaselaw.ch/entscheid/bvger_E-6797_2009</w:t>
      </w:r>
    </w:p>
    <w:p>
      <w:r>
        <w:t>FR: TAF E-6797/2009 du 12 novembre 2009</w:t>
      </w:r>
    </w:p>
    <w:p>
      <w:r>
        <w:t>IT: TAF E-6797/2009 del 12 novembre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recourants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Les recourants n'ont pas non plus présenté de motif excusable susceptible de justifier la non-production de tels documents, au sens de l'art. 32 al. 3 let. a LAsi. Certes, les intéressés ont expliqué que leurs parentés respectives avaient confisqué leurs documents d'identité et qu'ils avaient voyagé en compagnie d'une tierce personne, laquelle leur aurait retiré tout document à leur arrivée en Suisse. Toutefois, ces explications ne sauraient convaincre le Tribunal. En effet, non seulement il est plutôt singulier que tant les parents de l'intéressé que ceux de son épouse aient eu la même idée de soustraction des documents d'identité, mais encore on ne comprend pas le but des oncles du recourant de se saisir de ces documents, vu que ces derniers avaient un intérêt direct à ce que le recourant parte de son pays d'origine. De plus, la description des circonstances de la soustraction des documents en question est peu détaillée et peu crédible. Enfin, les intéressés ne sauraient convaincre l'autorité de céans lorsqu'ils affirment ne pas savoir avec quelle identité et passeport ils ont voyagé et pu entrer en Suisse. Compte tenu de tous ces éléments le Tribunal considère qu'il existe des indices sérieux permettant de conclure que les recourants cherchent à cacher les véritables circonstances de leur voyage en Suisse, qu'ils ont en réalité voyagé en étant munis de leurs pièces d'identité et que leur non-production ne vise qu'à dissimuler des indications y figurant ou à rendre plus difficile une procédure de renvoi. Les recourants ont certes fait parvenir à l'ODM le certificat de naissance de l'intéressé et fourni au stade du recours une copie de ce document et de celle d'un certificat de décès de leur enfant ainsi qu'un testament. Or, ces documents ne sauraient être considérés comme des documents d'identité au sens de la loi (cf. ci-dessus ch. 2.2).</w:t>
      </w:r>
    </w:p>
    <w:p>
      <w:r>
        <w:rPr>
          <w:b/>
        </w:rPr>
        <w:t>E. 3.2</w:t>
      </w:r>
    </w:p>
    <w:p>
      <w:r>
        <w:t>C'est en outre à juste titre que l'autorité de première instance a estimé que la qualité de réfugié des intéressés n'était pas établie après l'audition ni ne nécessitait d'autres mesures d'instructions, tant sous cet angle que sous celui de l'existence d'un empêchement à l'exécution du renvoi (art. 32 al. 3 let. b et c LAsi). En effet, le Tribunal doit constater que les déclarations des intéressés n'emportent pas la conviction et ne sont, de surcroît, étayés par aucun élément concret. Certes, l'intéressé a produit un testament, duquel il ressort que son auteur lui lègue tous ses biens agricoles (cf. point 6 du testament), ainsi qu'un acte de décès d'un enfant de quatre ans, mort d'empoisonnement. Toutefois, force est de constater que le testament, outre que les intéressés n'ont donné aucune indication sur sa production tardive, ne permet pas d'apporter la preuve des menaces dirigées contre l'intéressé par ses oncles paternels. Tout au plus ce document permettrait-il d'attester, s'il devait être authentique, de la volonté d'un dénommé F._______ de léguer certains de ses biens à B._______. Or, s'agissant de son authenticité, le Tribunal observe que ce document ne contient aucun sceau officiel, ce qui ne laisse de surprendre. En outre, les témoins mentionnés sur ce document, et présents lors de son établissement, ont quant à eux signé cet acte deux jours après, un fait également étonnant. Quant à l'acte de décès produit, il ne permet pas davantage de confirmer les déclarations des intéressés, selon lesquelles leur enfant est décédé des suites d'un acte de malveillance. En effet, s'il établit bien que l'enfant mentionné sur ce document est décédé des suites d'un empoisonnement, force est de constater que cette inscription ne permet pas de corroborer le récit de l'intéressé, quant aux pressions dont il se prétend être la victime de la part de ses oncles. Enfin, il convient de relever que les problèmes invoqués par le recourant ne sauraient entrer dans le champs des motifs exhaustivement énoncés à l'art. 3 al. 1 LAsi pour pouvoir bénéficier de la qualité de réfugié, à savoir l'exposition à de sérieux préjudices en raison de la race, de la religion, de la nationalité, de l'appartenance à un groupe social déterminé ou de l'opinion politique. Cela étant, et indépendamment de ce qui précède, le Tribunal observe que l'intéressé a épousé une ressortissante d'Afrique du Sud et que de ce fait, il lui est loisible de s'installer dans cet Etat. Certes, les intéressés ont invoqué avoir rencontré des difficultés en raison de l'origine zimbabwéenne de B._______. Toutefois, s'il est vrai que des poussées de violences sporadiques contre les immigrés ont encore entraîné, entre mai et novembre 2008, la mort de trente personnes, principalement des Somali particulièrement visés par ces agressions xénophobes, ces actes n'ont cependant pas empêché de nombreux immigrés qui avaient fui l'Afrique du Sud après les émeutes de mai dernier d'y revenir. Sur place, ces immigrés bénéficient d'un accès concret à des structures efficaces de protection auxquelles ils peuvent faire appel. Récemment des policiers anti-émeutes sont ainsi intervenus à Durban pour mettre fin à des affrontements entre indigènes et ressortissants d'autres pays d'Afrique ayant entraîné la mort d'un individu. Dans ces conditions, les recourants n'ont pas rendu vraisemblable qu'ils sont exposés à des préjudices au sens de l'art. 3 LAsi en Afrique du Sud, en raison de l'origine zimbabwéenne de B._______. Quant au fait qu'il aurait perdu son permis de travail, en raison de son départ de ce pays, il ne constitue pas un élément propre à modifier la présente analyse. En effet, selon les informations générales à disposition du Tribunal, de par son mariage avec une ressortissante sud-africaine, l'intéressé peut obtenir à nouveau un permis de résidence, lequel lui permettra de travailler. En outre, après cinq ans de mariage, il lui est loisible de requérir une autorisation de résidence permanente.</w:t>
      </w:r>
    </w:p>
    <w:p>
      <w:r>
        <w:rPr>
          <w:b/>
        </w:rPr>
        <w:t>E. 3.3</w:t>
      </w:r>
    </w:p>
    <w:p>
      <w:r>
        <w:t>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que ce soit au Zimbabwe ou en Afrique du Sud. En effet, ces deux pays ne connaissent pas de violences généralisées. De plus, eu égard à la situation personnelle des recourants, à savoir qu'ils sont jeunes, au bénéfice d'une formation professionnelle indéniable et en bonne santé, il peut être attendu de leur part un certain effort en vue de leur réinstallation dans un des pays précités.</w:t>
      </w:r>
    </w:p>
    <w:p>
      <w:r>
        <w:rPr>
          <w:b/>
        </w:rPr>
        <w:t>E. 4.4</w:t>
      </w:r>
    </w:p>
    <w:p>
      <w:r>
        <w:t>L'exécution du renvoi est enfin possible (cf. art. 83 al. 2 LEtr) et les recourants sont tenus de collaborer à l'obtention de documents de voyage leur permettant de quitter la Suisse (cf. art. 8 al. 4 LAsi).</w:t>
      </w:r>
    </w:p>
    <w:p>
      <w:r>
        <w:rPr>
          <w:b/>
        </w:rPr>
        <w:t>E. 4.5</w:t>
      </w:r>
    </w:p>
    <w:p>
      <w:r>
        <w:t>C'est donc également à bon droit que l'autorité de première instance a prononcé le renvoi des recourants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francs) à la charge des recourants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