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E-6790/2014 vom 25. Februar 2015</w:t>
      </w:r>
    </w:p>
    <w:p>
      <w:r>
        <w:t>Bundesverwaltungsgericht, 2015-02-25, DE</w:t>
      </w:r>
    </w:p>
    <w:p>
      <w:r>
        <w:rPr>
          <w:b/>
        </w:rPr>
        <w:t xml:space="preserve">Quelle: </w:t>
      </w:r>
      <w:r>
        <w:t>https://mcp.opencaselaw.ch/entscheid/bvger_E-6790_2014</w:t>
      </w:r>
    </w:p>
    <w:p>
      <w:r>
        <w:t>FR: TAF E-6790/2014 du 25 février 2015</w:t>
      </w:r>
    </w:p>
    <w:p>
      <w:r>
        <w:t>IT: TAF E-6790/2014 del 25 febbraio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Entscheide erwog das BFM, die Belästigungen und Bedrohungen durch F._______ stellten eine Verfolgung durch eine Drittperson dar. Diese werde zwar nicht in Abrede gestellt, die Behörden seien jedoch nicht untätig geblieben, sondern hätten die Anzeigen gegen F._______ ernst genommen und entsprechende Schritte eingeleitet. Es sei durchaus denkbar, dass die eingeleiteten behördlichen Massnahmen aus der subjektiven Sicht der Beschwerdeführenden nicht die gewünschte Wirkung entfaltet und sie sich weiterhin den Anfeindungen von F._______ ausgesetzt gesehen hätten. Es sei jedoch darauf hinzuweisen, dass kein Staat in der Lage sei, die Sicherheit seiner Bürgerinnen und Bürger im Falle von Übergriffen durch Dritte vollumfänglich zu gewährleisten. Entscheidend seien der Schutzwille und die Schutzfähigkeit des Staates, und diese seien vorliegend gegeben. Die eingereichten Gerichtsvorladungen würden eine in dieser Sache als adäquat zu beurteilende behördliche Massnahme belegen, womit feststehe, dass der serbische Staat seiner Schutzpflicht im Kontext der Bedrohung durch F._______ nachgekommen sei. Entsprechend sei davon auszugehen, dass die serbischen Behörden auch den danach erstatteten Anzeigen gegen F._______ im Rahmen ihrer Möglichkeiten nachgekommen seien. Immerhin sei F._______ ab 2007 oder 2008 nicht mehr derart in Erscheinung, als dass die Beschwerdeführenden veranlasst gewesen wären, erneut Anzeige zu erstatten oder darüber zu berichten (vgl. A10/12 S. 7, A11/12 S. 9, A24/10 S. 2 f.). Dass der Waldbrand (...) von F._______ gelegt worden sei, beruhe auf einer blossen Vermutung. Vor diesem Hintergrund dürfe angenommen werden, die vom Beschwerdeführer initiierten und von den serbischen Behörden durchgesetzten Massnahmen gegen F._______ hätten ihre Wirkung entfaltet und der serbische Staat habe seine Schutzpflicht erfüllt. Der geschilderte Vorfall vom (...) erfordere dieselbe Betrachtungsweise. Der serbische Staat sei in diesem Zusammenhang seiner Schutzpflicht ebenfalls nachgekommen, wie sowohl den Aussagen der Beschwerdeführenden als auch den hierzu eingereichten Beweismitteln zu entnehmen sei, indem gegen den fehlbaren Polizeibeamten G._______ ein Strafverfahren eingeleitet worden sei, in dessen Rahmen dieser zu einer sechsmonatigen Haftstrafe verurteilt wurde. Zusammenfassend sei festzuhalten, dass der serbische Staat seiner Schutzpflicht in allen Belangen nachgekommen sei. Es gebe keine Anhaltspunkte dafür, dass die Beschwerdeführenden in ihrer Heimat ungeschützt der Verfolgung durch Drittpersonen oder gar - im Falle des tätlich gewordenen Polizeibeamten - schutzlos einer staatlichen Verfolgung ausgesetzt gewesen wären oder solche Verfolgungsmassnahmen zu befürchten hätten, ohne dass ihnen der nötige Schutz gewährt würde. Abschliessend sei festzuhalten, dass der Bundesrat Serbien als verfolgungssicheren Staat bezeichnet habe, weshalb die Regelvermutung bestehe, dass asylrelevante staatliche Verfolgung nicht stattfinde und Schutz vor nichtstaatlicher Verfolgung gewährleistet sei. Die Aussagen des Beschwerdeführers hinsichtlich der fortdauernden Bedrohung durch G._______ seien widersprüchlich gewesen. Anlässlich der Anhörung vom 14. Januar 2013 habe er angegeben, er sei nach der Einleitung des Gerichtsverfahrens wiederholt von G._______ bedroht worden. Dieser sei mehrmals, wenn er in der Gegend auf Jagd gewesen sei, beim Beschwerdeführer aufgetaucht und habe ihn mit der Frage provoziert, wie lange er denn noch zu bleiben gedenke. Im Anschluss an die letzte Gerichtsverhandlung vom (...) habe G._______ ihn erneut aufgesucht und wissen lassen, er werde die ganze Familie umbringen, sollte er verurteilt werden. Er habe diese Belästigungen und die Morddrohung den Behörden nicht gemeldet (vgl. A10/12 S. 9 f.). In der Anhörung vom 6. November 2014 habe er dagegen gesagt, die letzte Gerichtsverhandlung habe im (...) stattgefunden, und er habe G._______ letztmals nach dieser Verhandlung anlässlich einer seiner Jagdtouren gesehen. Auf konkrete Nachfrage habe er festgehalten, G._______ letztmals an der Gerichtsverhandlung gesehen zu haben. Ausserdem habe er ausgeführt, G._______ während des Jahres 2012 zwei oder drei Mal in der Stadt getroffen zu haben, ohne dass es zu Bedrohungen gekommen sei. Vielmehr habe G._______ einen Versöhnungsversuch unternommen und dem Beschwerdeführer Geld geboten, falls er die Anzeige zurückziehe. Dieser habe jedoch abgelehnt, da er eine Bestrafung und Verurteilung von G._______ gewollt habe. Das Interesse des Beschwerdeführers an einer Verurteilung von G._______ stehe in Widerspruch zum Umstand, dass die Beschwerdeführenden das Urteil nicht abgewartet, sondern das Land vorher verlassen hätten. Der konkreten Frage, ob er nach dem Vorfall vom (...) jemals von G._______ bedroht worden sei, weiche er aus und halte fest, an allen Gerichtsverhandlungen teilgenommen zu haben und zuletzt kurz vor der Ausreise von einer Gruppe von Leuten in der Nacht hupend und schreiend zu Hause aufgesucht und mit dem Tod bedroht worden zu sein. Er vermute, es habe sich um Handlanger von G._______ gehandelt, habe diesen jedoch nicht gesehen. Im Widerspruch zu seiner früheren Aussage mache er geltend, dieses Ereignis zur Anzeige gebracht zu haben, räume indessen auf Nachfrage ein, er sei sich dessen nicht ganz sicher. Die geltend gemachte fortdauernde Bedrohung durch G._______ scheine aufgrund dieser widersprüchlichen Aussagen unglaubhaft. Es sei deshalb davon auszugehen, die Ausreise sei letztlich anderweitig motiviert gewesen als von den Beschwerdeführenden dargelegt.</w:t>
      </w:r>
    </w:p>
    <w:p>
      <w:r>
        <w:rPr>
          <w:b/>
        </w:rPr>
        <w:t>E. 5.2</w:t>
      </w:r>
    </w:p>
    <w:p>
      <w:r>
        <w:t>In der Beschwerde wird dieser Argumentation entgegengehalten, als Angehörige der Minderheit der Albaner seien die Beschwerdeführenden in Serbien Anfeindungen und Bedrohungen der serbischen Mehrheit ausgesetzt, welche im Laufe der Zeit immer stärker geworden seien. Sie hätten dies übereinstimmend und glaubhaft geschildert. Es treffe nicht zu, dass der serbische Staat seine Schutzpflicht erfüllt habe, denn gegen F._______ sei nicht ernsthaft etwas unternommen worden, und zwar nicht, weil man nicht gekonnt hätte, sondern weil man nicht gewollt habe. Dasselbe gelte für den Polizeibeamten G._______, welcher zwar auf dem Papier verurteilt worden sei, diese Strafe aber selbstverständlich nicht habe absitzen müssen, sondern auch nach dem Vorfall weiterhin in der Wohngegend der Beschwerdeführenden seinen Dienst verrichte. Dies sei ein deutliches Zeichen des Staates, welches die Beschwerdeführenden verstanden hätten. Es sei ihnen nur noch die Flucht ins Ausland geblieben. Allfällige schriftliche Unterlagen vermöchten an diesen Umständen nichts zu ändern. Den Nachstellungen gegen die Beschwerdeführenden sei vom serbischen Staat freien Lauf gelassen worden. Etwas anderes anzunehmen wäre völlig lebensfremd; der serbische Staat schütze keine Albaner wirklich und ernsthaft vor Übergriffen durch Serben. Es sei daher auch nicht relevant, dass Serbien als verfolgungssicherer Staat bezeichnet worden sei. Dies möge für Serben gelten, nicht aber für Albaner. Die Beschwerdeführenden erfüllten daher die Flüchtlingseigenschaft. Die Zweifel an der Glaubwürdigkeit des Beschwerdeführers seien nicht nachvollziehbar. Da seine Aussagen in den wesentlichen Punkten mit denjenigen der Beschwerdeführerin übereinstimmen würden und die Vor-instanz den Vorfall vom (...) anerkannt habe, gehe es nicht an, die Aussagen des Beschwerdeführers auf Seite 7 (Anmerkung BVGer: vermutlich der angefochtenen Verfügung betreffend den Beschwerdeführer, A25/11) plötzlich als widersprüchlich zu bezeichnen. Die Beschwerdeführerin habe nach Zustellung der angefochtenen Verfügung in die psychiatrische Klinik eingeliefert werden müssen. Eine Wegweisung wäre deshalb für sie nicht zumutbar.</w:t>
      </w:r>
    </w:p>
    <w:p>
      <w:r>
        <w:rPr>
          <w:b/>
        </w:rPr>
        <w:t>E. 6.1</w:t>
      </w:r>
    </w:p>
    <w:p>
      <w:r>
        <w:t>Das Bundesverwaltungsgericht gelangt in Übereinstimmung mit der Vorinstanz zum Schluss, dass die Vorbringen der Beschwerdeführenden den Anforderungen an die Flüchtlingseigenschaft nicht standhalten.</w:t>
      </w:r>
    </w:p>
    <w:p>
      <w:r>
        <w:rPr>
          <w:b/>
        </w:rPr>
        <w:t>E. 6.2</w:t>
      </w:r>
    </w:p>
    <w:p>
      <w:r>
        <w:t>In den angefochtenen Verfügungen wird nicht in Abrede gestellt, dass die Situation der Beschwerdeführenden in deren Heimat belastend war, und die vorgebrachten Belästigungen der Beschwerdeführerin durch F._______ und der Vorfall vom (...) sowie die damit zusammenhängenden Anzeigen beziehungsweise Gerichtsverfahren werden nicht bezweifelt. Auch das Bundesverwaltungsgericht verkennt nicht die schwierige Situation der Beschwerdeführenden, und es besteht kein Anlass, an den genannten und hinreichend belegten Vorbringen zu zweifeln. Indessen kann die in der Beschwerde verfochtene und nicht weiter begründete Auffassung, die serbischen Behörden hätten nicht ernsthaft etwas unternommen, um die Beschwerdeführenden zu schützen, nicht geteilt werden. Sowohl gegen F._______ als auch gegen G._______ wurden die Behörden tätig, und es kam in beiden Fällen zu Gerichtsverfahren. Dass es letztlich nicht zum subjektiv von den Beschwerdeführenden gewünschten Ergebnis kam, ist zwar bedauerlich, daraus auf einen fehlenden Schutzwillen des Staates zu schliessen, würde jedoch zu kurz greifen. Entscheidend ist, dass die Behörden im Rahmen ihrer rechtsstaatlichen Möglichkeiten die notwendigen Massnahmen ergriffen, um die Beschwerdeführenden zu schützen. Zur Vermeidung von Wiederholungen ist auf die zutreffenden und ausführlichen Erwägungen der Vorinstanz zu verweisen, welche vom Bundesverwaltungsgericht vollumfänglich gestützt werden. Das Gericht schliesst sich auch den Zweifeln der Vorinstanz an den Aussagen des Beschwerdeführers zur nach dem Vorfall (...) fortdauernden Verfolgung und Bedrohung durch G._______ an. In der Beschwerde wird zwar vorgebracht, die Aussagen des Beschwerdeführers stimmten in den wesentlichen Punkten mit denjenigen der Beschwerdeführerin überein; dies vermag indessen die aufgeführten Widersprüche in den Aussagen des Beschwerdeführers nicht zu erklären. Die diesbezüglichen Vorbringen vermögen deshalb die Einschätzung, der serbische Staat sei in der Lage und willens, den Beschwerdeführenden den erforderlichen Schutz zu gewähren, nicht umzustossen.</w:t>
      </w:r>
    </w:p>
    <w:p>
      <w:r>
        <w:rPr>
          <w:b/>
        </w:rPr>
        <w:t>E. 6.3</w:t>
      </w:r>
    </w:p>
    <w:p>
      <w:r>
        <w:t>Nach dem Gesagten hat das BFM zu Recht die Flüchtlingseigenschaft verneint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Serbien, das der Bundesrat zum sogenannten verfolgungssicheren Herkunftsstaat (safe country) im Sinne von Art. 6a Abs. 2 Bst. a AsylG erklärt hat, herrscht keine Situation allgemeiner Gewalt.</w:t>
      </w:r>
    </w:p>
    <w:p>
      <w:r>
        <w:rPr>
          <w:b/>
        </w:rPr>
        <w:t>E. 8.3.3</w:t>
      </w:r>
    </w:p>
    <w:p>
      <w:r>
        <w:t>Hinsichtlich des vorgebrachten Klinikaufenthaltes und der damit implizit geltend gemachten gesundheitlichen Probleme der Beschwerdeführerin ist festzustellen, dass Gründe ausschliesslich medizinischer Natur den Wegweisungsvollzug im Allgemeinen nicht als unzumutbar erscheinen lassen,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Die Beschwerdeführenden sind der Aufforderung des Gerichts, den in der Beschwerde in Aussicht gestellten Arztbericht nachzureichen (vgl. Verfügung des Bundesverwaltungsgerichts vom 4. Dezember 2014), nicht nachgekommen. Der vorgebrachte Klinikaufenthalt der Beschwerdeführerin ist daher nicht belegt, und eine Einschätzung ihres aktuellen Gesundheitszustandes wurde dadurch verunmöglicht. Wie in der Zwischenverfügung vom 18. Dezember 2014 festgehalten, ist deshalb als Folge der Verletzung ihrer Mitwirkungspflicht gemäss Art. 8 AsylG zu ihren Ungunsten davon auszugehen, ihr Gesundheitszustand stehe einer Wegweisung nicht entgegen. Die nicht weiter kommentierte Mitteilung in der Eingabe vom 12. Dezember 2014, dass die Beschwerdeführerin "zwischenzeitlich wieder entlassen werden konnte", bestärkt diese Einschätzung. Im Übrigen wird darauf hingewiesen, dass nach Erkenntnissen des Bundesverwaltungsgerichts die Behandlung von psychischen Problemen in Serbien möglich und der Zugang zu entsprechenden medizinischen Einrichtungen grundsätzlich gewährleistet ist.</w:t>
      </w:r>
    </w:p>
    <w:p>
      <w:r>
        <w:rPr>
          <w:b/>
        </w:rPr>
        <w:t>E. 8.3.4</w:t>
      </w:r>
    </w:p>
    <w:p>
      <w:r>
        <w:t>Weiter ist festzustellen, dass die Beschwerdeführenden in Serbien Haus und Hof besitzen. Damit ist die Wohnsituation gesichert und zumindest längerfristig wohl auch ein existenzsicherndes Einkommen vorhanden. Zudem könnten sie bei Bedarf vermutlich auf finanzielle Unterstützung durch ihre in der Schweiz lebenden Verwandten zurückgreifen. Schliesslich ist davon auszugehen, dass sie in Serbien über ein tragfähiges soziales Beziehungsnetz verfügen, so dass eine rasche soziale Reintegration möglich sein wird. Ohne die Schwierigkeiten bei einer Rückkehr zu verkennen, liegen damit keine konkreten Anhaltspunkte dafür vor, dass sie bei einer Rückkehr nach Serbien in eine ihre Existenz bedrohende Situation geraten würden, die als konkrete Gefährdung im Sinne der zu beachtenden Bestimmungen zu werten wäre (Art. 83 Abs. 4 AuG).</w:t>
      </w:r>
    </w:p>
    <w:p>
      <w:r>
        <w:rPr>
          <w:b/>
        </w:rPr>
        <w:t>E. 8.3.5</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Angesichts der Dauer des Aufenthaltes in der Schweiz von etwas mehr als zwei Jahren ist vorliegend nicht von einer Verwurzelung in der Schweiz auszugehen. Es besteht somit kein Anlass, aus Gründen des Kindeswohls von einem Wegweisungsvollzug abzusehen.</w:t>
      </w:r>
    </w:p>
    <w:p>
      <w:r>
        <w:rPr>
          <w:b/>
        </w:rPr>
        <w:t>E. 8.3.6</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Sie sind mit dem am 22. Dezember 2014 in gleicher Höhe geleisteten Kostenvorschuss gedeckt. Dieser wird zu deren Bezahlung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