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E-678/2012 vom 27. Januar 2016</w:t>
      </w:r>
    </w:p>
    <w:p>
      <w:r>
        <w:t>Bundesverwaltungsgericht, 2016-01-27, DE</w:t>
      </w:r>
    </w:p>
    <w:p>
      <w:r>
        <w:rPr>
          <w:b/>
        </w:rPr>
        <w:t xml:space="preserve">Quelle: </w:t>
      </w:r>
      <w:r>
        <w:t>https://mcp.opencaselaw.ch/entscheid/bvger_E-678_2012</w:t>
      </w:r>
    </w:p>
    <w:p>
      <w:r>
        <w:t>FR: TAF E-678/2012 du 27 janvier 2016</w:t>
      </w:r>
    </w:p>
    <w:p>
      <w:r>
        <w:t>IT: TAF E-678/2012 del 27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Dieses Urteil ergeht in Anwendung von Art. 21 und Art. 24 VGG i.V.m. Art. 32 Abs. 2 und 3 des Geschäftsreglements vom 17. April 2008 für das Bundesverwaltungsgericht (VGR, SR 173.320.1) in Besetzung mit fünf Richtern beziehungsweise Richterinnen.</w:t>
      </w:r>
    </w:p>
    <w:p>
      <w:r>
        <w:rPr>
          <w:b/>
        </w:rPr>
        <w:t>E. 2.1</w:t>
      </w:r>
    </w:p>
    <w:p>
      <w:r>
        <w:t>Am 1. Februar 2014 ist die Änderung des Asylgesetzes vom 14. Dezember 2012 in Kraft getreten. Bei Wiedererwägungs- und Mehrfachgesuchen gilt für die im Zeitpunkt des Inkrafttretens der Änderung vom 14. Dezember 2012 hängigen Verfahren bisheriges Recht in der Fassung vom 1. Januar 2008 (Übergangsbestimmung zur Änderung vom 14. Dezember 2012 III / Abs. 2, 1. Satz). Im Zeitpunkt des Inkrafttretens war das zweite Asylverfahren bereits hängig, weshalb intertemporalrechtlich das Asylgesetz in der bisherigen Fassung vom 1. Januar 2008 zur Anwendung (aAsylG) kommt.</w:t>
      </w:r>
    </w:p>
    <w:p>
      <w:r>
        <w:rPr>
          <w:b/>
        </w:rPr>
        <w:t>E. 2.2</w:t>
      </w:r>
    </w:p>
    <w:p>
      <w:r>
        <w:t>Mit Beschwerde kann die Verletzung von Bundesrecht, die unrichtige und unvollständige Feststellung des rechtserheblichen Sachverhalts sowie Unangemessenheit gerügt werden (Art. 106 Abs. 1 AsylG in der damals gültigen Fassung).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Genf 1993,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4.1 Das BFM führte in seiner Verfügung aus, dass exilpolitische Aktivitäten nur dann im Sinne von subjektiven Nachfluchtgründen zur Flüchtlingseigenschaft führen könnten, wenn davon ausgegangen werden müsse, dass diese Aktivitäten im Falle einer Rückkehr in den Sudan mit überwiegender Wahrscheinlichkeit ernsthafte Massnahmen für den Betroffenen zur Folge hätten. Der Beschwerdeführer habe geltend gemacht, Mitglied der JEM zu sein und regelmässig an Konferenzen, Treffen und Protestaktionen teilzunehmen. Zudem habe er I._______, den (...), getroffen und sich mit diesem fotografieren lassen. Die blosse Mitgliedschaft in der genannten Organisation und die Teilnahme an Konferenzen, Treffen und Protestaktionen vermöchten jedoch keine asylrelevante Verfolgung zu begründen. Der Beschwerdeführer habe zwar angegeben, er sei Stellvertreter (...). Aus den Akten gehe jedoch nicht hervor, dass er sich in dieser Funktion speziell exponiert hätte. Es sei vielmehr von einer niedrig profilierten Tätigkeit auszugehen. Die sudanesischen Behörden hätten nur dann Interesse an der Identifizierung von Personen, wenn diese als konkrete Bedrohung für das politische System wahrgenommen würden. Die Aktivitäten und das Verhalten des Beschwerdeführers seien nicht geeignet, ein ernsthaftes Vorgehen der sudanesischen Behörden zu bewirken, weshalb nicht davon auszugehen sei, dass sich der Beschwerdeführer bei einer Rückkehr in den Sudan einer konkreten Gefährdung aussetzen würde. 4.2 In der Beschwerde wurde geltend gemacht, der Beschwerdeführer sei exilpolitisch für die JEM aktiv, weshalb er bei einer allfälligen Rückkehr in den Sudan im Sinne von Art. 3 AsylG gefährdet sei. So halte er als Mitglied (...) und Stellvertreter (...) eine wichtige Position inne. Er habe bei der Anhörung mit seinen präzisen Angaben sein politisches Profil durchaus unter Beweis gestellt. Dabei handle es sich nicht um eine niedrig profilierte Tätigkeit. Der Konflikt zwischen Regierungstruppen und Rebellen in der Region Darfur sei nach wie vor in vollem Gange und habe seit den Kämpfen vom 5. Januar 2012 zu einer Verschlechterung der Sicherheitslage geführt. Die JEM sei die führende Partei im Darfur-Konflikt und liefere sich heftige Kämpfe mit den Regierungstruppen. Mit Hinweis auf ein Urteil des BVGer E-312/2007 vom 29. September 2011 machte er weiter geltend, politisch und kritisch gegen die Regierung engagierte Menschen würden bei einer Rückkehr in den Sudan nach langer Abwesenheit an der Grenze festgehalten und auf ihre politische Tätigkeit überprüft. Die Vorinstanz sei gar nicht auf den Umstand eingegangen, dass er aufgrund seiner ethnischen Zugehörigkeit zu den D._______ zusätzlich gefährdet sei.</w:t>
      </w:r>
    </w:p>
    <w:p>
      <w:r>
        <w:rPr>
          <w:b/>
        </w:rPr>
        <w:t>E. 5</w:t>
      </w:r>
    </w:p>
    <w:p>
      <w:r>
        <w:t>5.1.1 Nachfolgend ist zu prüfen, ob die exilpolitischen Tätigkeiten des Beschwerdeführers im Falle einer Rückkehr in den Sudan mit überwiegender Wahrscheinlichkeit ernsthafte Massnahmen für ihn zur Folge hätten. 5.1.2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5.2</w:t>
      </w:r>
    </w:p>
    <w:p>
      <w:r>
        <w:t>Im Sudan dient der Geheimdienst NISS als Instrument der National Congress Party (NCP) und der Regierung dazu, landesweit Kritiker einzu­schüchtern oder zum Schweigen zu bringen, darunter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Medien werden zensuriert, Publikationen konfisziert, soziale Netzwerke wie Facebook, Twitter und YouTube werden infiltriert, Journalisten eingeschüchtert, verhaftet und gefoltert. Es ist davon auszugehen, dass der sudanesischen Regierung auch exilpolitische Betätigungen von Asylsuchenden bekannt werden. Der sudanesische Geheimdienst beschäftigt sich im Ausland mit der Überwachung und Kontrolle von sudanesischen Oppositionsbewegungen. Die nachrichtendienstlichen Erkenntnisse werden im Sudan ausgewertet und unter anderem militärischen Stellen zur Verfügung gestellt. Nicht jede politische Aktivität wird von sudanesischen Personen im Ausland beobachtet. Eine solche umfassende Beobachtung dürfte die finanziellen, technischen und personellen Möglichkeiten der sudanesischen Regierung schlicht überschreiten. Im Blickpunkt der Regierung dürften jedoch solche Personen stehen, die sich aufgrund besonderer Umstände aus dem eher anonymen Kreis der blossen Teilnehmer an politischen Veranstaltungen von Exilorganisationen herausheben (vgl. Urteil D-7162/2010 vom 29. Oktober 2012 E. 5.1 und die dort angegebenen Quellen).</w:t>
      </w:r>
    </w:p>
    <w:p>
      <w:r>
        <w:rPr>
          <w:b/>
        </w:rPr>
        <w:t>E. 5.3</w:t>
      </w:r>
    </w:p>
    <w:p>
      <w:r>
        <w:t>Hinweise für die aktuelle Gefährdungslage vor Ort ergeben sich namentlich auch aus BVGE 2013/5 vom 4. Februar 2013 E. 5.3.10: "Gemäss den vorliegenden Quellen geraten Personen dann ins Visier der sudanesischen Behörden und insbesondere des Geheim- und Sicherheitsdienstes NISS, wenn sie sich politisch engagieren, sich kritisch gegen die Regierung, die regierende NCP, gegen Behörden oder über die Lage in Darfur äussern oder verdächtigt werden, eine Rebellengruppe zu unterstützen, unabhängig von der regionalen Herkunft oder der Zugehörigkeit zu einer bestimmten ethnischen Gruppe." Für die nachfolgende Liste der Vorfälle kann auf S. 17 f. des zitierten Urteils verwiesen werden.</w:t>
      </w:r>
    </w:p>
    <w:p>
      <w:r>
        <w:rPr>
          <w:b/>
        </w:rPr>
        <w:t>E. 5.4</w:t>
      </w:r>
    </w:p>
    <w:p>
      <w:r>
        <w:t>Der Europäische Gerichtshof für Menschenrechte (EGMR) stellte in seinem Urteil vom 7. Januar 2014 (vgl. Urteil des EGMR A.A. gegen die Schweiz vom 7. Januar 2014, 58802/12) sodann fest, die Situation von politischen Opponenten der sudanesischen Regierung sei sehr unsicher. Es sei offensichtlich, dass Personen, die der Zugehörigkeit zu einer Oppositionspartei verdächtigt würden, Anführer der Zivilgesellschaft, und Journalisten regelmässig von den sudanesischen Behörden schikaniert, festgenommen, geschlagen, gefoltert und verfolgt würden. Nicht nur Anführer politischer Organisationen und andere Personen mit herausragendem politischem Profil, sondern alle Personen, die das aktuelle Regime ablehnten oder dessen auch nur verdächtigt würden, seien im Sudan gefährdet, festgenommen, misshandelt und gefoltert zu werden. Gestützt auf diese allgemeinen Erkenntnisse hat der Gerichtshof im Fall eines sudanesischen Asylbewerbers, der bereits vor seinem zweiten Asylgesuch mehrere Jahre Mitglied der bekannten Sudanesischen Befreiungsarmee (SLM-Unity) und der SLM/U war, festgehalten, dass, selbst wenn er kein besonders exponiertes Profil aufweise, für ihn dennoch eine Gefährdung bestehe. So habe er an exilpolitischen Aktivitäten teilgenommen, weshalb nicht ausgeschlossen werden könne, dass die sudanesischen Behörden auf ihn aufmerksam geworden seien. Exilpolitisch aktive Sudanesen, insbesondere wenn sie mit der SLM in Verbindung gebracht würden, würden von der sudanesischen Behörden nämlich registriert. Deshalb würden substantielle Gründe dafür bestehen, dass er Gefahr liefe, bei seiner Rückkehr festgenommen, befragt und gefoltert zu werden. Somit würde eine Ausschaffung des Beschwerdeführers gegen Art. 3 EMRK verstossen. Der Gerichtshof lässt jedoch letztlich offen, ob im Sudan eine Situation allgemeiner Gewalt vorliege, in der eine Ausschaffung unabhängig vom Einzelfall immer eine Verletzung von Art. 3 EMRK darstellen würde. Die abstrakten Aussagen des EGMR entbinden daher nicht von einer konkreten Einzelfallprüfung.</w:t>
      </w:r>
    </w:p>
    <w:p>
      <w:r>
        <w:rPr>
          <w:b/>
        </w:rPr>
        <w:t>E. 5.5</w:t>
      </w:r>
    </w:p>
    <w:p>
      <w:r>
        <w:t>In den später ergangenen Urteilen des EGMR wird eine reale Verfolgungsgefahr von JEM-Mitgliedern bei einer Rückkehr in den Sudan nicht nur bestätigt, sondern es wird zusätzlich betont, dass sich die Situation seit dem zuvor erwähnten Urteil des EGMR vom 7. Januar 2014 für die oppositionellen Kräfte in Darfur noch verschlechtert habe (vgl. Urteile A.A. g. Frankreich Nr. 18039/11 vom 15. Januar 2015, Ziffer 55-56 und A.F. g. Frankreich, Nr. 80086/13 vom 15. Januar 2015).</w:t>
      </w:r>
    </w:p>
    <w:p>
      <w:r>
        <w:rPr>
          <w:b/>
        </w:rPr>
        <w:t>E. 5.6</w:t>
      </w:r>
    </w:p>
    <w:p>
      <w:r>
        <w:t>Im vorliegenden Fall ergibt sich eine ähnliche Konstellation wie im zuvor genannten Urteil des EGMR vom 7. Januar 2014. Obschon der Exponierungsgrad des Beschwerdeführers aufgrund der dokumentierten exilpolitischen Tätigkeiten für die JEM als nicht besonders gewichtig bezeichnet werden muss, hat er doch immerhin die Funktion als Stellvertreter (...) ausgeübt. Der Beschwerdeführer ist bereits im Jahre 2007 in der Schweiz der JEM beigetreten (vgl. Akten BFM B9/7 A15) und hat an verschiedenen Veranstaltungen teilgenommen, was durch die eingereichten Fotos bestätigt wird. Weiter ist ersichtlich, dass er sich mit exponierten Exilpolitikern wie I._______, getroffen, mithin persönliche Kontakte mit einem bekannten Oppositionspolitiker gepflegt hat (vgl. gemeinsames Foto, Beilage B3). Sodan ist der Beschwerdeführer Mitglied der DFEZ und hat als solcher an verschiedenen Treffen und Konferenzen teilgenommen ([...]). Bei dieser Sachlage ist überwiegend wahrscheinlich, dass die sudanesischen Behörden, nicht zuletzt vor dem Hintergrund einer mehrjährigen exilpolitischen Tätigkeit in der Schweiz, auf ihn aufmerksam geworden sind. Die JEM ist eine der bedeutendsten Rebellenorganisationen im Sudan und wird von den staatlichen Behörden mit allen Mitteln bekämpft. Unter diesen Umständen liegt hinreichender Anlass für die Annahme vor, dass der Beschwerdeführer bei der Rückkehr in den Sudan mit ernsthaften Nachteilen von Seiten des sudanesischen Regimes zu rechnen hat. Da die JEM im Zusammenhang mit dem Darfur-Konflikt eine gewisse Legitimation erhalten hat und zudem die Regierung Al-Bashir diskreditiert wird, ist die Gefährlichkeit der Bewegung in den Augen der Regierung noch gesteigert worden, was ein schärferes Vorgehen gegenüber deren Mitglieder ausgelöst hat (vgl. Small Arms Survey/Human Security Baseline Assessment [HSBA] for Sudan and South Sudan, http://www.smallarmssurveysudan.org/fileadmin/docs/factsfigures/sudan/darfur/armed-groups/opposition/HSBA-Armed-Groups-JEM). Gemäss Auffassung des EGMR würden Personen, die der Zugehörigkeit zu einer Rebellenorganisation oder zu deren Unterstützung verdächtigt würden, von den sudanesischen Behörden verhaftet, gefangen gehalten und misshandelt (vgl. A.F. g. Frankreich, Nr. 80086/13 vom 15. Januar 2015, Ziffer 49). Wichtig erscheint auch, dass der Beschwerdeführer als ehemaliger (...) zur Bildungselite gehört und deshalb von einem erhöhten Gefährdungsprofil auszugehen ist. Schliesslich ist auch von Bedeutung, dass der Beschwerdeführer zur ethnischen Minderheit der D._______ gehört. Insgesamt gesehen ist somit im Falle des Beschwerdeführers eine begründete Furcht vor zukünftiger Verfolgung zu bejahen. Diese Gefahr dürfte sich bereits bei einer allfälligen Wiedereinreise in den Sudan zeigen, womit kein hinreichender Anlass zur Annahme besteht, dem Beschwerdeführer stünde eine innerstaatliche Schutzalternative zur Verfügung.</w:t>
      </w:r>
    </w:p>
    <w:p>
      <w:r>
        <w:rPr>
          <w:b/>
        </w:rPr>
        <w:t>E. 5.7</w:t>
      </w:r>
    </w:p>
    <w:p>
      <w:r>
        <w:t>Aus den vorstehenden Erwägungen ergibt sich, dass der Be­schwer­deführer begründete Furcht vor zukünftiger Verfolgung im Sinne von Art. 3 AsylG glaubhaft machen konnte, dies allerdings alleine aufgrund von subjektiven Nachfluchtgründen, was eine Asylgewährung ausschliesst (vgl. Art. 54 AsylG). Der Vollzug der Wegwei­sung in den Sudan erweist sich daher wegen drohender Verlet­zung des flüchtlingsrechtlichen Gebots des Non-Refoulement (Art. 5 AsylG) sowie auch mit Blick auf Art. 3 EMRK als unzulässig, da davon ausgegangen werden muss, dass er im Falle sei­ner Rückkehr ins Heimatland mit beachtlicher Wahrscheinlichkeit men­schenrechtswidriger Behandlung ausgesetzt wäre.</w:t>
      </w:r>
    </w:p>
    <w:p>
      <w:r>
        <w:rPr>
          <w:b/>
        </w:rPr>
        <w:t>E. 6</w:t>
      </w:r>
    </w:p>
    <w:p>
      <w:r>
        <w:t>Aus diesen Erwägungen ergibt sich, dass die angefochtene Verfügung Bundesrecht verletzt, soweit das SEM die Flüchtlingseigenschaft des Beschwerdeführers verneint hat. Die Beschwerde ist demnach gutzuheissen, soweit darin die Feststellung der Flüchtlingseigenschaft und die Aufhebung der Anordnung des Wegweisungsvollzugs beantragt werden. Die Ziffern 1, 4 und 5 der Verfügung des SEM vom 4. Januar 2012 sind aufzuheben. Das SEM ist anzuweisen, den Beschwerdeführer als Flüchtling anzuerkennen und zufolge Unzulässigkeit des Wegweisungsvollzugs seine vorläufige Aufnahme als Flüchtling in der Schweiz anzuordnen. Weitergehend ist die Beschwerde abzuweisen.</w:t>
      </w:r>
    </w:p>
    <w:p>
      <w:r>
        <w:rPr>
          <w:b/>
        </w:rPr>
        <w:t>E. 7.1</w:t>
      </w:r>
    </w:p>
    <w:p>
      <w:r>
        <w:t>Der mit der Beschwerde gestellte Antrag auf Gewährung der unentgeltlichen Prozessführung ist gutzuheissen, zumal die gesetzlichen Voraussetzungen dafür gegeben sind (vgl. Art. 65 Abs. 1 VwVG). Es sind somit keine Verfahrenskosten zu erheben.</w:t>
      </w:r>
    </w:p>
    <w:p>
      <w:r>
        <w:rPr>
          <w:b/>
        </w:rPr>
        <w:t>E. 7.2</w:t>
      </w:r>
    </w:p>
    <w:p>
      <w:r>
        <w:t>Dem vertretenen Beschwerdeführer ist angesichts seines teilweisen Obsiegens in Anwendung von Art. 64 VwVG und Art. 7 Abs. 1 des Reglements vom 21. Februar 2008 über die Kosten und Entschädigungen vor dem Bundesverwaltungsgericht (VGKE, SR 173.320.2) eine Entschädigung für die ihm notwendigerweise erwachsenen Parteikosten zuzusprechen. Es wurde für den entstandenen Aufwand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