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E-6787/2017 vom 18. März 2019</w:t>
      </w:r>
    </w:p>
    <w:p>
      <w:r>
        <w:t>Bundesverwaltungsgericht, 2019-03-18, DE</w:t>
      </w:r>
    </w:p>
    <w:p>
      <w:r>
        <w:rPr>
          <w:b/>
        </w:rPr>
        <w:t xml:space="preserve">Quelle: </w:t>
      </w:r>
      <w:r>
        <w:t>https://mcp.opencaselaw.ch/entscheid/bvger_E-6787_2017</w:t>
      </w:r>
    </w:p>
    <w:p>
      <w:r>
        <w:t>FR: TAF E-6787/2017 du 18 mars 2019</w:t>
      </w:r>
    </w:p>
    <w:p>
      <w:r>
        <w:t>IT: TAF E-6787/2017 del 18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bis auf das Begehren um Berichtigung von Personendaten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Frage der Feststellung des richtigen Geburtstages wird hiermit vom vorliegenden Verfahren abgetrennt und vom Bundesverwaltungsgericht im Verfahren E-7378/2017 behandelt. Demzufolge ist auf dieses Begehren - die Berichtigung eines ZEMIS-Eintrages - vorliegend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Aus den Protokollen ergibt sich zusammenfassend folgender Sachverhalt: Der aus E._______ (Subzoba F._______, Zoba G._______) stammende Beschwerdeführer schloss im (...) 2015 die (...) Klasse ab (A18 F23 ff. und 35). Während dieser Zeit wurde sein (...) Bruder C._______ anlässlich einer Razzia aufgegriffen und in den Nationaldienst rekrutiert (A18 F48 ff. und 75 ff.); später reiste dieser illegal aus Eritrea aus und lebt heute im Südsudan (A11 S. 6 und 9; A18 F49, 76 ff. und 137). Weil der Beschwerdeführer nach dem Weggang seines (...) Bruders dessen familiäre Aufgaben übernehmen musste, verbrachte er die darauffolgenden (...) Schulferien in B._______ und verdiente sich ein Zubrot für seine Familie (A18 F30 ff.). Nach den Schulferien kehrte er nach E._______ zurück (A18 F65) und bekam auch schon die Hefte für das (...) Schuljahr. Doch dann entschloss er sich, aufgrund seiner finanziellen Verpflichtungen der Familie gegenüber, die Schule abzubrechen und fortan zum familiären Einkommen beizutragen (A11 S. 4; A18 F26 f., 32 und 51 ff.). Insgesamt verbrachte er seit seinem Schulabbruch im (...) 2015 ungefähr (...) in B._______ (mindestens am Ende) bei einem dort sesshaften Onkel (A11 S. 5), wobei er immer wieder in sein Dorf zurückkehrte (A11 S. 10 f.; A18 F64 f.), zumal dieses (...) von B._______ entfernt liegt (A18 F72). In B._______ wurde er einmal wegen seiner illegalen Verkaufstätigkeit festgenommen (A18 F105). Im (...) 2016 (A11 S. 9; A18 F87 f.) erhielt er eine Vorladung zum Militärdienst, weil er die Schule abgebrochen hatte (A18 F81 ff.). Die Vorladung wurde vermutungsweise seiner Mutter in E._______ ausgehändigt (A11 S. 9; A18 F87 ff. und 159); der Beschwerdeführer selber hielt sich in diesem Zeitpunkt nicht zuhause auf (A11 S. 9; A18 F90). Sein Vater berichtete ihm telefonisch von der Vorladung (A18 F92 ff.). Vor seiner Ausreise aus Eritrea besuchte er am (...) 2016 ein letztes Mal seine Familie (A18 F95); (...) Wochen später (A18 F95 ff.) - Ende (...) 2016 (A18 F64) - verliess er Eritrea Richtung Sudan (A11 S. 7 f.; A18 F141 ff.). Hinsichtlich seines Alters brachte er an der Befragung und Anhörung vor, er sei am (...) geboren worden (A11 S. 3; A18 F54 ff.).</w:t>
      </w:r>
    </w:p>
    <w:p>
      <w:r>
        <w:rPr>
          <w:b/>
        </w:rPr>
        <w:t>E. 5.2</w:t>
      </w:r>
    </w:p>
    <w:p>
      <w:r>
        <w:t>Das SEM begründete seine Verfügung vom 31. Oktober 2017 dahingehend, dass die vorgebrachte Minderjährigkeit des Beschwerdeführers zweifelhaft sei. Zwar erwecke das jugendliche Aussehen den Anschein, dass er minderjährig sein könnte. Doch würden alle übrigen Indizien für seine Volljährigkeit sprechen. So hätten die italienischen Behörden als Geburtstag einerseits den (...) registriert; in der italienischen Krankenversicherungskarte sei anderseits der (...) als Geburtstag vermerkt worden. In weiteren Akten der italienischen Behörden sei schliesslich auch der (...) festgehalten worden. Während der Befragung und der Anhörung vor dem SEM habe er sich nur ausweichend auf die Frage seines Alters geäussert. Schliesslich habe eine Handknochenanalyse ein ausgewachsenes Knochenwachstum des Beschwerdeführers ergeben, weshalb das SEM von seiner Volljährigkeit ausgehe und als Geburtstag den (...) registriere. Hinsichtlich der Vorladung zum Nationaldienst hielt das SEM fest, dass unklar sei, wer dieses Dokument entgegengenommen habe und wie der Beschwerdeführer davon in Kenntnis gesetzt worden sei (A11 S. 9; A18 F87 ff.). Des Weiteren seien die Aussagen zu den Aufenthalten in der Zeitspanne zwischen dem Schulabbruch und der Ausreise unklar und widersprüchlich (A11 S. 5 und 9; A18 F93 ff.), welche im Rahmen eines rechtlichen Gehörs auch nicht plausibel erklärt worden seien (A18 F159 ff.). Ferner sei nicht üblich, dass ein (...)-Jähriger für den eritreischen Militärdienst aufgeboten werde. Letztlich seien auch die Aussagen bezüglich des Gefängnisaufenthalts des Beschwerdeführers wegen Schwarzhandels substanzarm und unplausibel ausgefallen, weshalb dieses Vorbringen - im Übrigen eine legitime staatliche Massnahme - ebenfalls unglaubhaft sei.</w:t>
      </w:r>
    </w:p>
    <w:p>
      <w:r>
        <w:rPr>
          <w:b/>
        </w:rPr>
        <w:t>E. 5.3</w:t>
      </w:r>
    </w:p>
    <w:p>
      <w:r>
        <w:t>In der Beschwerdeschrift wurde bezüglich des Sachverhalts präzisiert, dass die Vorladung an die Adresse des Beschwerdeführers in E._______ gesandt worden sei. Es sei anzunehmen, dass die Mutter diese entgegengenommen habe, welche ihm bei einem Besuch - ungefähr am (...) 2016 - davon berichtet habe. Anschliessend sei der Beschwerdeführer wieder nach B._______ zurückgekehrt. Einige Zeit später habe der Vater, welcher (...) von dieser Angelegenheit erst später erfahren habe, ebenfalls über die Vorladung informiert, unwissend, dass der Beschwerdeführer schon von seiner Mutter davon informiert worden sei. Im Übrigen sei die Entgegennahme der Vorladung nicht widersprüchlich geschildert worden. In der Begründung der Rechtsmitteleingabe wurde darüber hinaus vorgebracht, dass die Minderjährigkeit des Beschwerdeführers mit seinem der Eingabe beigelegten Taufschein bewiesen sei; demzufolge sei sein Geburtsdatum entsprechend zu ändern. Ferner gehe aus den Protokollen hervor, dass das Alter - sei es nun dasjenige seiner Geschwister oder seiner Mutter - für den Beschwerdeführer nur eine sehr untergeordnete Rolle spiele. Ferner habe das SEM hinsichtlich der angeblich widersprüchlichen Aussagen bezüglich der Zeitspanne zwischen dem Schulabbruch und der Ausreise nicht beachtet, dass der Beschwerdeführer diese Diskrepanz noch in der Befragung berichtigt habe (A11 S. 11). Somit sei klar, dass diesbezüglich kein Widerspruch vorliege und der Beschwerdeführer konsistente Zeitangaben gemacht habe. Weiter wurde angefügt, dass verschiedenen Berichten die Rekrutierung von Minderjährigen in den eritreischen Nationaldienst zu entnehmen sei. Ganz allgemein falle auf, dass der Beschwerdeführer bei einigen Fragen überfordert und am Ende der Anhörung übermüdet gewesen sei. Dies sei insbesondere in Bezug auf die Glaubhaftigkeit zu berücksichtigen.</w:t>
      </w:r>
    </w:p>
    <w:p>
      <w:r>
        <w:rPr>
          <w:b/>
        </w:rPr>
        <w:t>E. 6.1</w:t>
      </w:r>
    </w:p>
    <w:p>
      <w:r>
        <w:t>Nach Prüfung der Akten kommt das Bundesverwaltungsgericht zum Schluss, dass die Aussagen des Beschwerdeführers als überwiegend glaubhaft zu erachten sind.</w:t>
      </w:r>
    </w:p>
    <w:p>
      <w:r>
        <w:rPr>
          <w:b/>
        </w:rPr>
        <w:t>E. 6.1.1</w:t>
      </w:r>
    </w:p>
    <w:p>
      <w:r>
        <w:t>Glaubhaftmachen im Sinne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Glaubhaftigkeit eines Verfolgungsschicksals ist eine die eigene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Ereignissen insbesondere bei wechselnden, widersprüchlichen, gesteigerten oder nachgeschobenen Vorbringen. Bei der Beurteilung der Glaubhaftigkeit geht es um eine Gesamtbeurteilung aller Elemente (Übereinstimmung bezüglich des wesentlichen Sachverhalts,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6.1.2</w:t>
      </w:r>
    </w:p>
    <w:p>
      <w:r>
        <w:t>Bezüglich des Einwandes der Vorinstanz, die Angaben zum Erhalt und zur Kenntnisnahme der Vorladung durch den Beschwerdeführer seien widersprüchlich ausgefallen (A11 S. 9; A18 F87 ff.), gilt festzuhalten, dass den Akten diesbezüglich keine klaren Widersprüche zu entnehmen sind und es dem Beschwerdeführer gelingt, die Ungereimtheit auf Beschwerdeebene nachvollziehbar aufzulösen. An der Befragung sagte der Beschwerdeführer zwar deutlich, die Vorladung sei im (...) 2016 von seiner Mutter entgegen genommen worden (A11 S. 9). Indes präzisierte er anlässlich der Anhörung, er habe dieses Dokument nicht gesehen, doch sei wahrscheinlich, dass seine Mutter dieses entgegengenommen habe, weil sie damals zuhause gewesen sei (A18 F89 ff. und 159). An der Befragung gab er sodann an, er habe, nachdem er nach Hause gekommen sei, davon Kenntnis erhalten (A11 S. 9). Am nächsten Tag sei er nach B._______ zurückgekehrt. An der Anhörung legte er dar, er habe von seinem Vater telefonisch davon erfahren, als er sich in B._______ befunden habe (A18 F92 f.). Die Erläuterung in der Beschwerdeschrift, (zuerst) habe seine Mutter anlässlich eines Besuchs zu Hause darüber berichtet, später habe er einen Anruf von seinem Vater erhalten, ist nachvollziehbar. Den Protokollen ist nicht zu entnehmen, von wem er als erstes Kenntnis erhielt. Damit ist zwar nicht eindeutig geklärt, wann er erstmals von der Vorladung erfahren hat, jedoch erscheint kein elementarer Widerspruch vorzuliegen. Glaubhaft ist ausserdem, dass die Vorladung von der Verwaltung gekommen ist (A11 S. 9; A18 F81 und 100 f.; vgl. Referenzurteil des BVGer D-2311/2016 vom 17. August 2017 E. 12.2).</w:t>
      </w:r>
    </w:p>
    <w:p>
      <w:r>
        <w:rPr>
          <w:b/>
        </w:rPr>
        <w:t>E. 6.1.3</w:t>
      </w:r>
    </w:p>
    <w:p>
      <w:r>
        <w:t>Als Weiteres hielt das SEM - ohne Details zu nennen - fest, dass die Aussagen des Beschwerdeführers zu seinen Aufenthalten in der Zeitspanne zwischen seinem Schulabbruch und seiner Ausreise unklar und widersprüchlich seien (A11 S. 5 und 9; A18 F93 ff.). Aus den Protokollen ist erkennbar, dass er im (...) 2015 die (...) Klasse abgeschlossen hat (A11 S. 4; A18 F23 ff.). Weil sein Bruder dannzumal in den Militärdienst eintreten musste, übernahm der Beschwerdeführer dessen Rolle als Zuverdiener für die Familie (A11 S. 9; A18 F50 ff. und 79) und ging schon nach seinem Abschluss - während den Schulferien - nach B._______, um Einkünfte zu erzielen (A11 S. 4 f.; A18 F31 und 33). Zwar ging er zu Beginn des neuen Schuljahres in sein Dorf zurück, doch hielten ihn seine Verpflichtungen von einem weiteren Schulbesuch ab. Während seines (...) Aufenthaltes in B._______ (ab [...] 2015) besuchte er ungefähr (...) pro Monat seine Familie in E._______ (A18 F64 f.). Im (...) 2016 (A11 S. 9; A18 F87 f.) erhielt er eine militärische Vorladung. Die Aussage, dass er (...) Monate nach seinem Schulabbruch erst nach B._______ gegangen sei (A11 S. 9), korrigierte er noch während der Befragung, was für ihn spricht: Er habe ungefähr (...) Jahr in B._______ gearbeitet, als die Vorladung im (...) gekommen sei. Daraufhin seien der Familie Rationskarten entzogen worden und sie durften die ihnen zustehenden Ackerflächen nicht mehr bearbeiten (A11 S. 10 f.). Das Bundesverwaltungsgericht geht davon aus, dass die Frage - wieviel Zeit zwischen Schulabbruch und Umsiedlung nach B._______ liege - vom Beschwerdeführer in der Befragung zunächst falsch verstanden wurde, zumal sie im Zusammenhang mit dem Erhalt des Aufgebots gestellt wurde (A11 S. 9, Ziff. 7.02 F2). Damit könnte er die Zeitspanne zwischen Schulabschluss und Flucht nach B._______ nach dem Erhalt des Schreibens gemeint haben (A11 S. 9, Ziff. 7.02 F3). Ansonsten führte er mehrmals aus, insgesamt (...) in B._______ verbracht zu haben (z.B. A18 F64, 109, 161 f. und 165). Ein letztes Mal sei er am (...) 2016 (A18 F18, 68 - auch hier hat der Beschwerdeführer das Datum auf Nachfrage korrigiert - und 95 ff.) in seinem Dorf gewesen. Diese Aussage ist mit der Angabe an der Befragung, er sei am (...) (A11 S. 11) ein letztes Mal in E._______ gewesen, zwar nicht vereinbar. Jedoch handelt es sich hierbei nicht um einen elementaren Widerspruch, zumal der (...) 2016, von welchem er mehrfach sprach, mit der Aussage übereinstimmt, dass er (...) oder (...) später (Ende [...] 2016, A18 F64 und 148) das Land verliess (A18 F95), beziehungsweise (...) zuvor von der Vorladung, welche er im (...) 2016 erhalten hatte, erfuhr (A18 F97).</w:t>
      </w:r>
    </w:p>
    <w:p>
      <w:r>
        <w:rPr>
          <w:b/>
        </w:rPr>
        <w:t>E. 6.1.4</w:t>
      </w:r>
    </w:p>
    <w:p>
      <w:r>
        <w:t>Hinsichtlich des Aussageverhaltens des Beschwerdeführers gilt festzuhalten, dass er allgemein Mühe mit genauen Zeitangaben (wie mit Geburtstagen, A11 S. 6) hat. Er scheint sich an ungefähren Zeitangaben (z.B. "(...)" [A18 F28 f., 64 f., 75, 79, 125 und 164] oder an "das genaue Datum erinnere ich mich nicht. Es war im (...)." [A18 F87]) wie auch an konkreten Ereignissen (z.B. Jahreszeiten [A18 F79 und 82] oder Wochentage [A18 F120 und 148]) zu orientieren. So fiel beispielsweise sein Abschuss der (...) Klasse mit der Rekrutierung seines Bruders zusammen (A18 F33, 50, 79 und 82). Ferner wurde er ungefähr in der Mitte seines (...) Aufenthalts in B._______ inhaftiert, nachdem er (...) Monte gearbeitet hatte (A18 F109). Ferner geht aus den Akten hervor, dass der Beschwerdeführer mehrere Male widerspruchsfrei erläuterte, sehr besorgt um die finanzielle Situation seiner Familie zu sein. In stringenter Weise legte er - der (...) Sohn der Familie - dar, dass er die Schule abgebrochen hat, weil sein (...) Bruder für den Nationaldienst rekrutiert worden war und er (der Beschwerdeführer) nun zum Unterhalt der Familie seinen Beitrag leisten musste. Der Familie fehlte nicht nur Einkommen, auch wurde sie mit dem Entzug von Rationskarten und dem Verbot, Ackerfelder zu bearbeiten, sanktioniert. Der kausale Ablauf der weiteren Geschehnisse wurde plausibel dargelegt (vgl. auch E. 5.1): Aufgrund des Schulabbruchs erhielt der Beschwerdeführer eine militärische Vorladung. Daraufhin entschloss er sich, das Land zu verlassen, weshalb die Familie wiederum sanktioniert wurde. Für die Glaubwürdigkeit des Beschwerdeführers sprechen weitere Realkennzeichen wie die Entfernung zwischen E._______ und B._______ (A18 F72) oder die Umschreibung der Umstände der Haftentlassung ([...]; A18 F126 ff.).</w:t>
      </w:r>
    </w:p>
    <w:p>
      <w:r>
        <w:rPr>
          <w:b/>
        </w:rPr>
        <w:t>E. 6.1.5</w:t>
      </w:r>
    </w:p>
    <w:p>
      <w:r>
        <w:t>Hinsichtlich der Erwägung des SEM, es sei nicht plausibel, dass Minderjährige in Eritrea rekrutiert würden, gilt festzuhalten, dass Minderjährige, welche die Schule vor dem 12. Schuljahr verlassen haben, in ein Ausbildungslager zur Absolvierung des Militärdienstes rekrutiert werden, wenn sie durch sogenannte "gifas" oder Vorladungen gefasst werden (vgl. Grundsatzurteil des BVGer E-5022/2017 vom 10. Juli 2018 E. 5.1.4 [zur Publikation vorgesehen] und Referenzurteil des BVGer D-2311/2016 vom 17. August 2017 E. 12.2; Home Office of the United Kingdom: Country Policy and Information Note, Eritrea: National Service and illegal exit, Version 5.0, Juli 2018, N. 7.3; Landinfo, Eritrea: National Service, Mai 2016, S. 12 und 14 f.; Andrea Geiser, Eritrea: Rekrutierung von Minderjährigen, Hrsg. SFH [Schweizerische Flüchtlingshilfe], 21. Januar 2015).</w:t>
      </w:r>
    </w:p>
    <w:p>
      <w:r>
        <w:rPr>
          <w:b/>
        </w:rPr>
        <w:t>E. 6.1.6</w:t>
      </w:r>
    </w:p>
    <w:p>
      <w:r>
        <w:t>Zusammenfassend sind allfällige Unstimmigkeiten im vorliegenden Fall in einer Gesamtbetrachtung von untergeordneter Natur. Das Bundesverwaltungsgericht hält die vom Beschwerdeführer vorgetragenen Gründe, die zu seiner Ausreise geführt haben, als überwiegend glaubhaft gemacht. Daher ist mit überwiegender Wahrscheinlichkeit davon auszugehen, dass er vor seiner Ausreise im (...) 2016 durch eine Vorladung in den eritreischen Nationaldienst rekrutiert wurde (vgl. auch zur Glaubhaftigkeit des konkreten Kontakts mit den eritreischen Militärbehörden Entscheidungen und Mitteilungen der Schweizerischen Asylrekurskommission [EMARK] 2006 Nr. 3 E. 4.11).</w:t>
      </w:r>
    </w:p>
    <w:p>
      <w:r>
        <w:rPr>
          <w:b/>
        </w:rPr>
        <w:t>E. 6.2</w:t>
      </w:r>
    </w:p>
    <w:p>
      <w:r>
        <w:t>Es bleibt zu untersuchen, ob das Vorbringen des Beschwerdeführers, dass er vor seiner Ausreise im (...) 2016 in Kontakt mit den Militärbehörden stand, im Sinne von Art. 3 AsylG asylrelevant ist.</w:t>
      </w:r>
    </w:p>
    <w:p>
      <w:r>
        <w:rPr>
          <w:b/>
        </w:rPr>
        <w:t>E. 6.2.1</w:t>
      </w:r>
    </w:p>
    <w:p>
      <w:r>
        <w:t>Die Dienstverweigerung oder Desertion vom eritreischen Nationaldienst führt aufgrund der unverhältnismässigen Bestrafung zur Anerkennung der Flüchtlingseigenschaft und zur Gewährung von Asyl (vgl. EMARK 2006 Nr. 3).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In diesen Fällen droht nicht nur eine Haftstrafe, sondern eine Inhaftierung unter unmenschlichen Bedingungen und Folter, wobei Deserteure oder Dienstverweigerer regelmässig der Willkür ihrer Vorgesetzten ausgesetzt sind. Die Desertion respektive die Dienstverweigerung werden von den eritreischen Behörden als Ausdruck der Regimefeindlichkeit aufgefasst. Es ist daher davon auszugehen, dass die einem Deserteur respektive Dienstverweigerer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respektive Dienstverweigerung als politischer Gegner qualifiziert und als solcher unverhältnismässig schwer bestraft würde. Mit anderen Worten hätte ein Deserteur respektive Dienstverweigerer, sollte das staatliche Regime seiner habhaft werden, eine politisch motivierte Bestrafung und eine Behandlung zu erwarten, die einer flüchtlingsrechtlich relevanten Verfolgung im Sinne von Art. 3 AsylG gleichkommt (vgl. dazu beispielsweise das Urteil des BVGer D-1359/2015 vom 22. August 2017 E. 6.1 m.H.a. EMARK 2006 Nr. 3).</w:t>
      </w:r>
    </w:p>
    <w:p>
      <w:r>
        <w:rPr>
          <w:b/>
        </w:rPr>
        <w:t>E. 6.2.2</w:t>
      </w:r>
    </w:p>
    <w:p>
      <w:r>
        <w:t>Im vorliegenden Fall ist davon auszugehen, dass der Beschwerdeführer im (...) 2016 von den eritreischen Behörden aufgeboten wurde, in den Nationaldienst einzutreten. Somit stand er im Kontakt mit den Militärbehörden (vgl. EMARK 2006 Nr. 3 E. 4.10). Ohne den Dienst angetreten zu haben, reiste er aus Eritrea aus und hat damit seinen Dienst verweigert. Vor diesem Hintergrund ist eine objektiv begründete Furcht des Beschwerdeführers, im Falle einer Rückkehr nach Eritrea ernsthaften Nachteilen im Sinne von Art. 3 AsylG ausgesetzt zu sein, zu bejahen. Der Beschwerdeführer erfüllt mithin die Flüchtlingseigenschaft. Asylausschlussgründe im Sinne von Art. 53 AsylG sind sodann nicht ersichtlich.</w:t>
      </w:r>
    </w:p>
    <w:p>
      <w:r>
        <w:rPr>
          <w:b/>
        </w:rPr>
        <w:t>E. 7</w:t>
      </w:r>
    </w:p>
    <w:p>
      <w:r>
        <w:t>Nach dem Gesagten verletzt die angefochtene Verfügung Bundesrecht. Die Beschwerde ist daher gutzuheissen. Die Verfügung der Vorinstanz vom 31. Oktober 2017 ist aufzuheben und die Vorinstanz anzuweisen, die Flüchtlingseigenschaft des Beschwerdeführers festzustellen und ihm Asyl zu gewähren.</w:t>
      </w:r>
    </w:p>
    <w:p>
      <w:r>
        <w:rPr>
          <w:b/>
        </w:rPr>
        <w:t>E. 8.1</w:t>
      </w:r>
    </w:p>
    <w:p>
      <w:r>
        <w:t>Bei diesem Ausgang des Verfahrens sind keine Kosten zu erheben (Art. 63 Abs. 1 und 2 VwVG). Damit wird die mit Verfügung vom 13. Dezember 2017 gewährte unentgeltliche Prozessführung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von der ersten Rechtsvertreterin am 28. November 2017 eine Kostennote eingereicht, welche einen Stundenansatz von Fr. 194.- (inkl. Mehrwertsteuerzuschlag), eine einmalige Pauschale für (nicht ausgewiesene) Auslagen von Fr. 54.- und einen zeitlichen Aufwand von 12 Stunden und 50 Minuten aufweist, was leicht überhöht erscheint (Art. 9-13 VGKE) und auf 10 Stunden zu kürzen ist. Das SEM ist demnach anzuweisen, dem Beschwerdeführer pauschal eine Parteientschädigung in der Höhe von insgesamt Fr. 1'950.- (inkl. Auslagen und Mehrwertsteuerzuschlag) zuzusprechen. Der Anspruch auf amtliches Honorar der als amtliche Rechtsbeiständin im Sinne von aArt. 110a Abs. 1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